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Ansi="方正小标宋简体" w:eastAsia="方正小标宋简体"/>
          <w:sz w:val="44"/>
          <w:szCs w:val="44"/>
        </w:rPr>
      </w:pPr>
      <w:r>
        <w:rPr>
          <w:rFonts w:hint="eastAsia" w:hAnsi="方正小标宋简体" w:eastAsia="方正小标宋简体"/>
          <w:sz w:val="44"/>
          <w:szCs w:val="44"/>
        </w:rPr>
        <w:t>凯里市政务中心预算公开说明</w:t>
      </w:r>
    </w:p>
    <w:p>
      <w:pPr>
        <w:spacing w:line="520" w:lineRule="exact"/>
      </w:pPr>
    </w:p>
    <w:p>
      <w:pPr>
        <w:spacing w:line="520" w:lineRule="exact"/>
        <w:ind w:firstLine="31680"/>
        <w:rPr>
          <w:rFonts w:ascii="黑体" w:eastAsia="黑体"/>
        </w:rPr>
      </w:pPr>
    </w:p>
    <w:p>
      <w:pPr>
        <w:spacing w:line="520" w:lineRule="exact"/>
        <w:ind w:firstLine="31680"/>
      </w:pPr>
      <w:r>
        <w:rPr>
          <w:rFonts w:hint="eastAsia"/>
        </w:rPr>
        <w:t>根据《中华人民共和国政府信息公开条例》和《省人民政府办公厅关于做好财政预决算“三公”经费信息公开的通知》（黔府办发电</w:t>
      </w:r>
      <w:r>
        <w:t xml:space="preserve"> </w:t>
      </w:r>
      <w:r>
        <w:rPr>
          <w:rFonts w:hint="eastAsia"/>
        </w:rPr>
        <w:t>〔</w:t>
      </w:r>
      <w:r>
        <w:t>2014</w:t>
      </w:r>
      <w:r>
        <w:rPr>
          <w:rFonts w:hint="eastAsia"/>
        </w:rPr>
        <w:t>〕</w:t>
      </w:r>
      <w:r>
        <w:t>59</w:t>
      </w:r>
      <w:r>
        <w:rPr>
          <w:rFonts w:hint="eastAsia"/>
        </w:rPr>
        <w:t>号）通知精神和市人民政府工作安排，市政务中心现将本单位</w:t>
      </w:r>
      <w:r>
        <w:t>2016</w:t>
      </w:r>
      <w:r>
        <w:rPr>
          <w:rFonts w:hint="eastAsia"/>
        </w:rPr>
        <w:t>年度部门预算及“三公”经费预算公开如下：</w:t>
      </w:r>
    </w:p>
    <w:p>
      <w:pPr>
        <w:spacing w:line="520" w:lineRule="exact"/>
        <w:ind w:firstLine="31680"/>
        <w:rPr>
          <w:rFonts w:ascii="黑体" w:eastAsia="黑体"/>
        </w:rPr>
      </w:pPr>
      <w:r>
        <w:rPr>
          <w:rFonts w:hint="eastAsia" w:ascii="黑体" w:eastAsia="黑体"/>
        </w:rPr>
        <w:t>一、部门概况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(</w:t>
      </w:r>
      <w:r>
        <w:rPr>
          <w:rFonts w:hint="eastAsia" w:ascii="楷体_GB2312" w:eastAsia="楷体_GB2312"/>
          <w:b/>
        </w:rPr>
        <w:t>一</w:t>
      </w:r>
      <w:r>
        <w:rPr>
          <w:rFonts w:ascii="楷体_GB2312" w:eastAsia="楷体_GB2312"/>
          <w:b/>
        </w:rPr>
        <w:t>)</w:t>
      </w:r>
      <w:r>
        <w:rPr>
          <w:rFonts w:hint="eastAsia" w:ascii="楷体_GB2312" w:eastAsia="楷体_GB2312"/>
          <w:b/>
        </w:rPr>
        <w:t>部门主要职能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）负责组织、协调、指导、监督本级人民政府所属部门、机构的政务服务工作，为公民、法人和其他组织提供行政许可、非行政许可审批及服务工作。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）制定规范市人民政府政务服务中心运行和人员管理的各项规章制度、管理办法、考核细则，并负责对窗口单位及其工作人员进行组织管理、协调和考核工作。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）对市人民政府批准设立的政务服务分中心（分厅）及乡镇、社区便民利民服务中心工作进行业务指导、组织协调及工作考核。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）对涉及两个以上部门联合办理的行政审批和服务事项进行管理、组织及协调。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）负责做好有关信息化系统的建设、管理维护、使用和培训工作。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）负责协调解决重大投资项目的行政审批服务工作。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）按照“便民、公开、合法、效能、责任”的原则做好全程代理服务工作。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）负责受理当事人对窗口单位及其工作人员服务质量、效能等方面的投诉，并按照效能建设的有关规定进行责任追究。</w:t>
      </w:r>
    </w:p>
    <w:p>
      <w:pPr>
        <w:spacing w:line="520" w:lineRule="exact"/>
        <w:ind w:firstLine="31680"/>
      </w:pPr>
      <w:r>
        <w:rPr>
          <w:rFonts w:hint="eastAsia"/>
        </w:rPr>
        <w:t>（</w:t>
      </w:r>
      <w:r>
        <w:t>9</w:t>
      </w:r>
      <w:r>
        <w:rPr>
          <w:rFonts w:hint="eastAsia"/>
        </w:rPr>
        <w:t>）承办市委、市人民政府交办的其他事项。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（二）部门预算单位构成</w:t>
      </w:r>
    </w:p>
    <w:p>
      <w:pPr>
        <w:spacing w:line="520" w:lineRule="exact"/>
        <w:ind w:firstLine="31680"/>
      </w:pPr>
      <w:r>
        <w:rPr>
          <w:rFonts w:hint="eastAsia"/>
        </w:rPr>
        <w:t>凯里市政务中心为财政全额补助参公事业单位</w:t>
      </w:r>
      <w:r>
        <w:t>1</w:t>
      </w:r>
      <w:r>
        <w:rPr>
          <w:rFonts w:hint="eastAsia"/>
        </w:rPr>
        <w:t>个。与</w:t>
      </w:r>
      <w:r>
        <w:t>2015</w:t>
      </w:r>
      <w:r>
        <w:rPr>
          <w:rFonts w:hint="eastAsia"/>
        </w:rPr>
        <w:t>年对比，无变化。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（三）部门人员构成</w:t>
      </w:r>
    </w:p>
    <w:p>
      <w:pPr>
        <w:spacing w:line="520" w:lineRule="exact"/>
        <w:ind w:firstLine="31680"/>
      </w:pPr>
      <w:r>
        <w:rPr>
          <w:rFonts w:hint="eastAsia"/>
        </w:rPr>
        <w:t>总编制人数</w:t>
      </w:r>
      <w:r>
        <w:t>15</w:t>
      </w:r>
      <w:r>
        <w:rPr>
          <w:rFonts w:hint="eastAsia"/>
        </w:rPr>
        <w:t>人，在职实有人数</w:t>
      </w:r>
      <w:r>
        <w:t>13</w:t>
      </w:r>
      <w:r>
        <w:rPr>
          <w:rFonts w:hint="eastAsia"/>
        </w:rPr>
        <w:t>人，其中：行政编制</w:t>
      </w:r>
      <w:r>
        <w:t>0</w:t>
      </w:r>
      <w:r>
        <w:rPr>
          <w:rFonts w:hint="eastAsia"/>
        </w:rPr>
        <w:t>人、事业编制</w:t>
      </w:r>
      <w:r>
        <w:t>14</w:t>
      </w:r>
      <w:r>
        <w:rPr>
          <w:rFonts w:hint="eastAsia"/>
        </w:rPr>
        <w:t>人、军转干编制</w:t>
      </w:r>
      <w:r>
        <w:t>0</w:t>
      </w:r>
      <w:r>
        <w:rPr>
          <w:rFonts w:hint="eastAsia"/>
        </w:rPr>
        <w:t>人、后勤服务人员</w:t>
      </w:r>
      <w:r>
        <w:t>1</w:t>
      </w:r>
      <w:r>
        <w:rPr>
          <w:rFonts w:hint="eastAsia"/>
        </w:rPr>
        <w:t>人、其他编制</w:t>
      </w:r>
      <w:r>
        <w:t>0</w:t>
      </w:r>
      <w:r>
        <w:rPr>
          <w:rFonts w:hint="eastAsia"/>
        </w:rPr>
        <w:t>人；离退休人员</w:t>
      </w:r>
      <w:r>
        <w:t>0</w:t>
      </w:r>
      <w:r>
        <w:rPr>
          <w:rFonts w:hint="eastAsia"/>
        </w:rPr>
        <w:t>人，其中：离休</w:t>
      </w:r>
      <w:r>
        <w:t>0</w:t>
      </w:r>
      <w:r>
        <w:rPr>
          <w:rFonts w:hint="eastAsia"/>
        </w:rPr>
        <w:t>人、退休</w:t>
      </w:r>
      <w:r>
        <w:t xml:space="preserve"> 0</w:t>
      </w:r>
      <w:r>
        <w:rPr>
          <w:rFonts w:hint="eastAsia"/>
        </w:rPr>
        <w:t>人；编制外长期聘用人员</w:t>
      </w:r>
      <w:r>
        <w:t>0</w:t>
      </w:r>
      <w:r>
        <w:rPr>
          <w:rFonts w:hint="eastAsia"/>
        </w:rPr>
        <w:t>人。</w:t>
      </w:r>
    </w:p>
    <w:p>
      <w:pPr>
        <w:spacing w:line="520" w:lineRule="exact"/>
        <w:ind w:firstLine="31680"/>
      </w:pPr>
      <w:r>
        <w:rPr>
          <w:rFonts w:hint="eastAsia"/>
        </w:rPr>
        <w:t>与</w:t>
      </w:r>
      <w:r>
        <w:t>2015</w:t>
      </w:r>
      <w:r>
        <w:rPr>
          <w:rFonts w:hint="eastAsia"/>
        </w:rPr>
        <w:t>年对比，编制人数无变化，在职实有人员也无变化。</w:t>
      </w:r>
    </w:p>
    <w:p>
      <w:pPr>
        <w:spacing w:line="520" w:lineRule="exact"/>
        <w:ind w:firstLine="31680"/>
        <w:rPr>
          <w:rFonts w:ascii="黑体" w:eastAsia="黑体"/>
        </w:rPr>
      </w:pPr>
      <w:r>
        <w:rPr>
          <w:rFonts w:hint="eastAsia" w:ascii="黑体" w:eastAsia="黑体"/>
        </w:rPr>
        <w:t>二、部门预算安排情况说明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（一）关于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年收支预算情况的总体说明</w:t>
      </w:r>
    </w:p>
    <w:p>
      <w:pPr>
        <w:spacing w:line="520" w:lineRule="exact"/>
        <w:ind w:firstLine="31680"/>
      </w:pPr>
      <w:r>
        <w:rPr>
          <w:rFonts w:hint="eastAsia"/>
        </w:rPr>
        <w:t>按照综合预算的原则，市政务中心所有收入和支出均纳入部门预算管理。收入包括：上年结转、财政拨款收入、事业收入、等。市政务中心</w:t>
      </w:r>
      <w:r>
        <w:t>2016</w:t>
      </w:r>
      <w:r>
        <w:rPr>
          <w:rFonts w:hint="eastAsia"/>
        </w:rPr>
        <w:t>年收支总预算</w:t>
      </w:r>
      <w:r>
        <w:t>384.65</w:t>
      </w:r>
      <w:r>
        <w:rPr>
          <w:rFonts w:hint="eastAsia"/>
        </w:rPr>
        <w:t>万元。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（二）关于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年收入预算情况说明</w:t>
      </w:r>
    </w:p>
    <w:p>
      <w:pPr>
        <w:spacing w:line="520" w:lineRule="exact"/>
        <w:ind w:firstLine="31680"/>
      </w:pPr>
      <w:r>
        <w:rPr>
          <w:rFonts w:hint="eastAsia"/>
        </w:rPr>
        <w:t>市政务中心</w:t>
      </w:r>
      <w:r>
        <w:t>2016</w:t>
      </w:r>
      <w:r>
        <w:rPr>
          <w:rFonts w:hint="eastAsia"/>
        </w:rPr>
        <w:t>年预算收入</w:t>
      </w:r>
      <w:r>
        <w:t>384.65</w:t>
      </w:r>
      <w:r>
        <w:rPr>
          <w:rFonts w:hint="eastAsia"/>
        </w:rPr>
        <w:t>万元，财政拨款收入</w:t>
      </w:r>
      <w:r>
        <w:t>384.65</w:t>
      </w:r>
      <w:r>
        <w:rPr>
          <w:rFonts w:hint="eastAsia"/>
        </w:rPr>
        <w:t>万元，占总收入的</w:t>
      </w:r>
      <w:r>
        <w:t>100%</w:t>
      </w:r>
      <w:r>
        <w:rPr>
          <w:rFonts w:hint="eastAsia"/>
        </w:rPr>
        <w:t>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（三）关于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年支出预算情况说明</w:t>
      </w:r>
    </w:p>
    <w:p>
      <w:pPr>
        <w:spacing w:line="520" w:lineRule="exact"/>
        <w:ind w:firstLine="31680"/>
      </w:pPr>
      <w:r>
        <w:t>2016</w:t>
      </w:r>
      <w:r>
        <w:rPr>
          <w:rFonts w:hint="eastAsia"/>
        </w:rPr>
        <w:t>年支出预算总额</w:t>
      </w:r>
      <w:r>
        <w:t>384.65</w:t>
      </w:r>
      <w:r>
        <w:rPr>
          <w:rFonts w:hint="eastAsia"/>
        </w:rPr>
        <w:t>万元，其中：基本支出</w:t>
      </w:r>
      <w:r>
        <w:t>161.07</w:t>
      </w:r>
      <w:r>
        <w:rPr>
          <w:rFonts w:hint="eastAsia"/>
        </w:rPr>
        <w:t>万元，占预算支出总额的</w:t>
      </w:r>
      <w:r>
        <w:t>41%</w:t>
      </w:r>
      <w:r>
        <w:rPr>
          <w:rFonts w:hint="eastAsia"/>
        </w:rPr>
        <w:t>，包括工资福利支出</w:t>
      </w:r>
      <w:r>
        <w:t>127.51</w:t>
      </w:r>
      <w:r>
        <w:rPr>
          <w:rFonts w:hint="eastAsia"/>
        </w:rPr>
        <w:t>万元，占基本支出的</w:t>
      </w:r>
      <w:r>
        <w:t xml:space="preserve"> 79.16 %</w:t>
      </w:r>
      <w:r>
        <w:rPr>
          <w:rFonts w:hint="eastAsia"/>
        </w:rPr>
        <w:t>，对个人和家庭补助支出</w:t>
      </w:r>
      <w:r>
        <w:t xml:space="preserve">29.08 </w:t>
      </w:r>
      <w:r>
        <w:rPr>
          <w:rFonts w:hint="eastAsia"/>
        </w:rPr>
        <w:t>万元，占基本支出的</w:t>
      </w:r>
      <w:r>
        <w:t>18.05 %</w:t>
      </w:r>
      <w:r>
        <w:rPr>
          <w:rFonts w:hint="eastAsia"/>
        </w:rPr>
        <w:t>，商品和服务支出</w:t>
      </w:r>
      <w:r>
        <w:t xml:space="preserve">12.56 </w:t>
      </w:r>
      <w:r>
        <w:rPr>
          <w:rFonts w:hint="eastAsia"/>
        </w:rPr>
        <w:t>万元，占基本支出的</w:t>
      </w:r>
      <w:r>
        <w:t xml:space="preserve"> 7.8%</w:t>
      </w:r>
      <w:r>
        <w:rPr>
          <w:rFonts w:hint="eastAsia"/>
        </w:rPr>
        <w:t>；项目支出</w:t>
      </w:r>
      <w:r>
        <w:t>215.5</w:t>
      </w:r>
      <w:r>
        <w:rPr>
          <w:rFonts w:hint="eastAsia"/>
        </w:rPr>
        <w:t>万元，占预算支出总额</w:t>
      </w:r>
      <w:r>
        <w:t>56%</w:t>
      </w:r>
      <w:r>
        <w:rPr>
          <w:rFonts w:hint="eastAsia"/>
        </w:rPr>
        <w:t>，主要用于办公用房房租、光纤租用费、业务费、系统维护费。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（四）关于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年财政拨款收支预算情况的总体说明</w:t>
      </w:r>
    </w:p>
    <w:p>
      <w:pPr>
        <w:spacing w:line="520" w:lineRule="exact"/>
        <w:ind w:firstLine="31680"/>
      </w:pPr>
      <w:r>
        <w:rPr>
          <w:rFonts w:hint="eastAsia"/>
        </w:rPr>
        <w:t>市政务中心</w:t>
      </w:r>
      <w:r>
        <w:t>2016</w:t>
      </w:r>
      <w:r>
        <w:rPr>
          <w:rFonts w:hint="eastAsia"/>
        </w:rPr>
        <w:t>年财政拨款收支总预算</w:t>
      </w:r>
      <w:r>
        <w:t>384.65</w:t>
      </w:r>
      <w:r>
        <w:rPr>
          <w:rFonts w:hint="eastAsia"/>
        </w:rPr>
        <w:t>万元。包括：当年财政拨款收入</w:t>
      </w:r>
      <w:r>
        <w:t>384.65</w:t>
      </w:r>
      <w:r>
        <w:rPr>
          <w:rFonts w:hint="eastAsia"/>
        </w:rPr>
        <w:t>万元（一般公共预算拨款</w:t>
      </w:r>
      <w:r>
        <w:t>384.65</w:t>
      </w:r>
      <w:r>
        <w:rPr>
          <w:rFonts w:hint="eastAsia"/>
        </w:rPr>
        <w:t>万元，政府性基金预算拨款</w:t>
      </w:r>
      <w:r>
        <w:t>0</w:t>
      </w:r>
      <w:r>
        <w:rPr>
          <w:rFonts w:hint="eastAsia"/>
        </w:rPr>
        <w:t>万元）；支出包括：一般公共服务支出</w:t>
      </w:r>
      <w:r>
        <w:t>376.57</w:t>
      </w:r>
      <w:r>
        <w:rPr>
          <w:rFonts w:hint="eastAsia"/>
        </w:rPr>
        <w:t>万元、医疗卫生与计划生育支出</w:t>
      </w:r>
      <w:r>
        <w:t>8.08</w:t>
      </w:r>
      <w:r>
        <w:rPr>
          <w:rFonts w:hint="eastAsia"/>
        </w:rPr>
        <w:t>万元。</w:t>
      </w:r>
      <w:r>
        <w:t xml:space="preserve"> 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（五）关于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年一般公共预算当年财政拨款情况说明</w:t>
      </w:r>
    </w:p>
    <w:p>
      <w:pPr>
        <w:spacing w:line="520" w:lineRule="exact"/>
        <w:ind w:firstLine="31680"/>
      </w:pPr>
      <w:r>
        <w:rPr>
          <w:rFonts w:hint="eastAsia"/>
        </w:rPr>
        <w:t>市政务中心</w:t>
      </w:r>
      <w:r>
        <w:t>2016</w:t>
      </w:r>
      <w:r>
        <w:rPr>
          <w:rFonts w:hint="eastAsia"/>
        </w:rPr>
        <w:t>年当年财政拨款支出预算</w:t>
      </w:r>
      <w:r>
        <w:t>384.65</w:t>
      </w:r>
      <w:r>
        <w:rPr>
          <w:rFonts w:hint="eastAsia"/>
        </w:rPr>
        <w:t>万元，具体情况如下：</w:t>
      </w:r>
    </w:p>
    <w:p>
      <w:pPr>
        <w:spacing w:line="520" w:lineRule="exact"/>
        <w:ind w:firstLine="31680"/>
      </w:pPr>
      <w:r>
        <w:rPr>
          <w:rFonts w:hint="eastAsia"/>
        </w:rPr>
        <w:t>一般公共服务支出</w:t>
      </w:r>
      <w:r>
        <w:t>384.65</w:t>
      </w:r>
      <w:r>
        <w:rPr>
          <w:rFonts w:hint="eastAsia"/>
        </w:rPr>
        <w:t>万元，占</w:t>
      </w:r>
      <w:r>
        <w:t>2016</w:t>
      </w:r>
      <w:r>
        <w:rPr>
          <w:rFonts w:hint="eastAsia"/>
        </w:rPr>
        <w:t>年财政拨款支出的</w:t>
      </w:r>
      <w:r>
        <w:t>100%</w:t>
      </w:r>
      <w:r>
        <w:rPr>
          <w:rFonts w:hint="eastAsia"/>
        </w:rPr>
        <w:t>，用于工资及公用经费支出，与</w:t>
      </w:r>
      <w:r>
        <w:t>2015</w:t>
      </w:r>
      <w:r>
        <w:rPr>
          <w:rFonts w:hint="eastAsia"/>
        </w:rPr>
        <w:t>年执行数相比，减少了</w:t>
      </w:r>
      <w:r>
        <w:t>20.37</w:t>
      </w:r>
      <w:r>
        <w:rPr>
          <w:rFonts w:hint="eastAsia"/>
        </w:rPr>
        <w:t>万元，减少</w:t>
      </w:r>
      <w:r>
        <w:t>5.3%</w:t>
      </w:r>
      <w:r>
        <w:rPr>
          <w:rFonts w:hint="eastAsia"/>
        </w:rPr>
        <w:t>，主要是没有补发工资项目。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（六）关于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年一般公共预算基本支出情况说明</w:t>
      </w:r>
    </w:p>
    <w:p>
      <w:pPr>
        <w:spacing w:line="520" w:lineRule="exact"/>
        <w:ind w:firstLine="31680"/>
      </w:pPr>
      <w:r>
        <w:rPr>
          <w:rFonts w:hint="eastAsia"/>
        </w:rPr>
        <w:t>市政务中心</w:t>
      </w:r>
      <w:r>
        <w:t>2016</w:t>
      </w:r>
      <w:r>
        <w:rPr>
          <w:rFonts w:hint="eastAsia"/>
        </w:rPr>
        <w:t>年一般公共预算基本支出</w:t>
      </w:r>
      <w:r>
        <w:t>169.15</w:t>
      </w:r>
      <w:r>
        <w:rPr>
          <w:rFonts w:hint="eastAsia"/>
        </w:rPr>
        <w:t>万元，其中：</w:t>
      </w:r>
    </w:p>
    <w:p>
      <w:pPr>
        <w:spacing w:line="520" w:lineRule="exact"/>
        <w:ind w:firstLine="31680"/>
      </w:pPr>
      <w:r>
        <w:rPr>
          <w:rFonts w:hint="eastAsia"/>
        </w:rPr>
        <w:t>人员经费</w:t>
      </w:r>
      <w:r>
        <w:t>156.59</w:t>
      </w:r>
      <w:r>
        <w:rPr>
          <w:rFonts w:hint="eastAsia"/>
        </w:rPr>
        <w:t>万元，主要包括：基本工资、津贴补贴、奖金、社会保障缴费等；</w:t>
      </w:r>
    </w:p>
    <w:p>
      <w:pPr>
        <w:spacing w:line="520" w:lineRule="exact"/>
        <w:ind w:firstLine="31680"/>
      </w:pPr>
      <w:r>
        <w:rPr>
          <w:rFonts w:hint="eastAsia"/>
        </w:rPr>
        <w:t>日常公用经费</w:t>
      </w:r>
      <w:r>
        <w:t>12.56</w:t>
      </w:r>
      <w:r>
        <w:rPr>
          <w:rFonts w:hint="eastAsia"/>
        </w:rPr>
        <w:t>万元，主要包括：办公费、印刷费、水费、电费、邮电费、租赁费等。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（七）关于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年非财政拨款收支预算情况的总体说明</w:t>
      </w:r>
    </w:p>
    <w:p>
      <w:pPr>
        <w:spacing w:line="520" w:lineRule="exact"/>
        <w:ind w:firstLine="31680"/>
      </w:pPr>
      <w:r>
        <w:rPr>
          <w:rFonts w:hint="eastAsia"/>
        </w:rPr>
        <w:t>市政务中心无非</w:t>
      </w:r>
      <w:r>
        <w:rPr>
          <w:rFonts w:hint="eastAsia"/>
          <w:lang w:eastAsia="zh-CN"/>
        </w:rPr>
        <w:t>财政拨款</w:t>
      </w:r>
      <w:r>
        <w:rPr>
          <w:rFonts w:hint="eastAsia"/>
        </w:rPr>
        <w:t>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（八）关于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年非财政拨款收入预算情况的总体说明</w:t>
      </w:r>
    </w:p>
    <w:p>
      <w:pPr>
        <w:spacing w:line="520" w:lineRule="exact"/>
        <w:ind w:firstLine="31680"/>
      </w:pPr>
      <w:bookmarkStart w:id="0" w:name="_GoBack"/>
      <w:r>
        <w:rPr>
          <w:rFonts w:hint="eastAsia"/>
        </w:rPr>
        <w:t>市</w:t>
      </w:r>
      <w:bookmarkEnd w:id="0"/>
      <w:r>
        <w:rPr>
          <w:rFonts w:hint="eastAsia"/>
        </w:rPr>
        <w:t>政务中心无非</w:t>
      </w:r>
      <w:r>
        <w:rPr>
          <w:rFonts w:hint="eastAsia"/>
          <w:lang w:eastAsia="zh-CN"/>
        </w:rPr>
        <w:t>财政拨款</w:t>
      </w:r>
      <w:r>
        <w:rPr>
          <w:rFonts w:hint="eastAsia"/>
        </w:rPr>
        <w:t>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（九）关于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年非财政拨款支出预算情况的总体说明</w:t>
      </w:r>
    </w:p>
    <w:p>
      <w:pPr>
        <w:spacing w:line="520" w:lineRule="exact"/>
        <w:ind w:firstLine="31680"/>
      </w:pPr>
      <w:r>
        <w:rPr>
          <w:rFonts w:hint="eastAsia"/>
        </w:rPr>
        <w:t>市政务中心无非</w:t>
      </w:r>
      <w:r>
        <w:rPr>
          <w:rFonts w:hint="eastAsia"/>
          <w:lang w:eastAsia="zh-CN"/>
        </w:rPr>
        <w:t>财政拨款</w:t>
      </w:r>
      <w:r>
        <w:rPr>
          <w:rFonts w:hint="eastAsia"/>
        </w:rPr>
        <w:t>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（十）关于</w:t>
      </w:r>
      <w:r>
        <w:rPr>
          <w:rFonts w:ascii="楷体_GB2312" w:eastAsia="楷体_GB2312"/>
          <w:b/>
        </w:rPr>
        <w:t>2016</w:t>
      </w:r>
      <w:r>
        <w:rPr>
          <w:rFonts w:hint="eastAsia" w:ascii="楷体_GB2312" w:eastAsia="楷体_GB2312"/>
          <w:b/>
        </w:rPr>
        <w:t>年“三公”经费财政拨款预算情况说明</w:t>
      </w:r>
    </w:p>
    <w:p>
      <w:pPr>
        <w:spacing w:line="520" w:lineRule="exact"/>
        <w:ind w:firstLine="31680"/>
      </w:pPr>
      <w:r>
        <w:t>2016</w:t>
      </w:r>
      <w:r>
        <w:rPr>
          <w:rFonts w:hint="eastAsia"/>
        </w:rPr>
        <w:t>年“三公经费”预算总额为</w:t>
      </w:r>
      <w:r>
        <w:t>17</w:t>
      </w:r>
      <w:r>
        <w:rPr>
          <w:rFonts w:hint="eastAsia"/>
        </w:rPr>
        <w:t>万元，其中公务接待费预算安排</w:t>
      </w:r>
      <w:r>
        <w:t xml:space="preserve"> 10</w:t>
      </w:r>
      <w:r>
        <w:rPr>
          <w:rFonts w:hint="eastAsia"/>
        </w:rPr>
        <w:t>万元，占公共财政预算支出的</w:t>
      </w:r>
      <w:r>
        <w:t xml:space="preserve"> 2.6%</w:t>
      </w:r>
      <w:r>
        <w:rPr>
          <w:rFonts w:hint="eastAsia"/>
        </w:rPr>
        <w:t>，比上年预算安排减少</w:t>
      </w:r>
      <w:r>
        <w:t xml:space="preserve"> 0%</w:t>
      </w:r>
      <w:r>
        <w:rPr>
          <w:rFonts w:hint="eastAsia"/>
        </w:rPr>
        <w:t>，公务车运行维护费预算安排</w:t>
      </w:r>
      <w:r>
        <w:t>7</w:t>
      </w:r>
      <w:r>
        <w:rPr>
          <w:rFonts w:hint="eastAsia"/>
        </w:rPr>
        <w:t>万元，占公共财政预算支出的</w:t>
      </w:r>
      <w:r>
        <w:t xml:space="preserve"> 1.82%</w:t>
      </w:r>
      <w:r>
        <w:rPr>
          <w:rFonts w:hint="eastAsia"/>
        </w:rPr>
        <w:t>，比上年预算安排减少</w:t>
      </w:r>
      <w:r>
        <w:t>0%</w:t>
      </w:r>
      <w:r>
        <w:rPr>
          <w:rFonts w:hint="eastAsia"/>
        </w:rPr>
        <w:t>，我市对因公出国</w:t>
      </w:r>
      <w:r>
        <w:t>(</w:t>
      </w:r>
      <w:r>
        <w:rPr>
          <w:rFonts w:hint="eastAsia"/>
        </w:rPr>
        <w:t>境</w:t>
      </w:r>
      <w:r>
        <w:t>)</w:t>
      </w:r>
      <w:r>
        <w:rPr>
          <w:rFonts w:hint="eastAsia"/>
        </w:rPr>
        <w:t>费实行零预算、公务车购置费实行总额控制，目前这两项经费预算暂无数据。</w:t>
      </w:r>
    </w:p>
    <w:p>
      <w:pPr>
        <w:spacing w:line="520" w:lineRule="exact"/>
        <w:ind w:firstLine="3168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（十一）其他重要事项情况说明</w:t>
      </w:r>
    </w:p>
    <w:p>
      <w:pPr>
        <w:spacing w:line="520" w:lineRule="exact"/>
        <w:ind w:firstLine="31680"/>
      </w:pPr>
      <w:r>
        <w:t>1</w:t>
      </w:r>
      <w:r>
        <w:rPr>
          <w:rFonts w:hint="eastAsia"/>
        </w:rPr>
        <w:t>、部门运行经费安排使用情况</w:t>
      </w:r>
    </w:p>
    <w:p>
      <w:pPr>
        <w:spacing w:line="520" w:lineRule="exact"/>
        <w:ind w:firstLine="31680"/>
      </w:pPr>
      <w:r>
        <w:t>2016</w:t>
      </w:r>
      <w:r>
        <w:rPr>
          <w:rFonts w:hint="eastAsia"/>
        </w:rPr>
        <w:t>年，市政务中心本级</w:t>
      </w:r>
      <w:r>
        <w:t>1</w:t>
      </w:r>
      <w:r>
        <w:rPr>
          <w:rFonts w:hint="eastAsia"/>
        </w:rPr>
        <w:t>个市政务中心运行经费财政拨款预算</w:t>
      </w:r>
      <w:r>
        <w:t>384.65</w:t>
      </w:r>
      <w:r>
        <w:rPr>
          <w:rFonts w:hint="eastAsia"/>
        </w:rPr>
        <w:t>万元，较</w:t>
      </w:r>
      <w:r>
        <w:t>2015</w:t>
      </w:r>
      <w:r>
        <w:rPr>
          <w:rFonts w:hint="eastAsia"/>
        </w:rPr>
        <w:t>年预算减少</w:t>
      </w:r>
      <w:r>
        <w:t>36.19</w:t>
      </w:r>
      <w:r>
        <w:rPr>
          <w:rFonts w:hint="eastAsia"/>
        </w:rPr>
        <w:t>万元，减少</w:t>
      </w:r>
      <w:r>
        <w:t>9.41%</w:t>
      </w:r>
      <w:r>
        <w:rPr>
          <w:rFonts w:hint="eastAsia"/>
        </w:rPr>
        <w:t>，主要原因是：</w:t>
      </w:r>
      <w:r>
        <w:t>2016</w:t>
      </w:r>
      <w:r>
        <w:rPr>
          <w:rFonts w:hint="eastAsia"/>
        </w:rPr>
        <w:t>年没有普调补发工资。</w:t>
      </w:r>
    </w:p>
    <w:p>
      <w:pPr>
        <w:spacing w:line="520" w:lineRule="exact"/>
        <w:ind w:firstLine="31680"/>
      </w:pPr>
      <w:r>
        <w:t>2</w:t>
      </w:r>
      <w:r>
        <w:rPr>
          <w:rFonts w:hint="eastAsia"/>
        </w:rPr>
        <w:t>、政府采购预算情况</w:t>
      </w:r>
    </w:p>
    <w:p>
      <w:pPr>
        <w:spacing w:line="520" w:lineRule="exact"/>
        <w:ind w:firstLine="31680"/>
      </w:pPr>
      <w:r>
        <w:t>2016</w:t>
      </w:r>
      <w:r>
        <w:rPr>
          <w:rFonts w:hint="eastAsia"/>
        </w:rPr>
        <w:t>年贵州省凯里市政务中心无政府采购支出。</w:t>
      </w:r>
    </w:p>
    <w:p>
      <w:pPr>
        <w:spacing w:line="520" w:lineRule="exact"/>
        <w:ind w:firstLine="31680"/>
      </w:pPr>
      <w:r>
        <w:t>3</w:t>
      </w:r>
      <w:r>
        <w:rPr>
          <w:rFonts w:hint="eastAsia"/>
        </w:rPr>
        <w:t>、预算绩效情况</w:t>
      </w:r>
    </w:p>
    <w:p>
      <w:pPr>
        <w:spacing w:line="520" w:lineRule="exact"/>
        <w:ind w:firstLine="31680"/>
      </w:pPr>
      <w:r>
        <w:t>2015</w:t>
      </w:r>
      <w:r>
        <w:rPr>
          <w:rFonts w:hint="eastAsia"/>
        </w:rPr>
        <w:t>年市政务中心已开展预算财政支出绩效评价自评工作，已成立绩效评价领导小组，已制定绩效评价工作方案，已形成自评报告；实行预算绩效管理重点评价的项目</w:t>
      </w:r>
      <w:r>
        <w:t>1</w:t>
      </w:r>
      <w:r>
        <w:rPr>
          <w:rFonts w:hint="eastAsia"/>
        </w:rPr>
        <w:t>个，涉及一般公共预算拨款</w:t>
      </w:r>
      <w:r>
        <w:t xml:space="preserve">381.43 </w:t>
      </w:r>
      <w:r>
        <w:rPr>
          <w:rFonts w:hint="eastAsia"/>
        </w:rPr>
        <w:t>万元。</w:t>
      </w:r>
      <w:r>
        <w:t>2016</w:t>
      </w:r>
      <w:r>
        <w:rPr>
          <w:rFonts w:hint="eastAsia"/>
        </w:rPr>
        <w:t>年正在开展部门预算财政支出绩效评价自评工作，已成立绩效评价领导小组，已制定绩效评价工作方案，未形成自评报告；计划实行预算绩效管理重点评价的项目</w:t>
      </w:r>
      <w:r>
        <w:t>1</w:t>
      </w:r>
      <w:r>
        <w:rPr>
          <w:rFonts w:hint="eastAsia"/>
        </w:rPr>
        <w:t>个，已评价项目</w:t>
      </w:r>
      <w:r>
        <w:t>0</w:t>
      </w:r>
      <w:r>
        <w:rPr>
          <w:rFonts w:hint="eastAsia"/>
        </w:rPr>
        <w:t>个，涉及一般公共预算拨款</w:t>
      </w:r>
      <w:r>
        <w:t>384.65</w:t>
      </w:r>
      <w:r>
        <w:rPr>
          <w:rFonts w:hint="eastAsia"/>
        </w:rPr>
        <w:t>万元。</w:t>
      </w:r>
    </w:p>
    <w:p>
      <w:pPr>
        <w:spacing w:line="520" w:lineRule="exact"/>
        <w:ind w:firstLine="31680"/>
      </w:pPr>
      <w:r>
        <w:t>4</w:t>
      </w:r>
      <w:r>
        <w:rPr>
          <w:rFonts w:hint="eastAsia"/>
        </w:rPr>
        <w:t>、国有资产占有使用情况</w:t>
      </w:r>
    </w:p>
    <w:p>
      <w:pPr>
        <w:spacing w:line="520" w:lineRule="exact"/>
        <w:ind w:firstLine="31680"/>
      </w:pPr>
      <w:r>
        <w:rPr>
          <w:rFonts w:hint="eastAsia"/>
        </w:rPr>
        <w:t>截至</w:t>
      </w:r>
      <w:r>
        <w:t>2016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日，本部门共有车辆</w:t>
      </w:r>
      <w:r>
        <w:t>1</w:t>
      </w:r>
      <w:r>
        <w:rPr>
          <w:rFonts w:hint="eastAsia"/>
        </w:rPr>
        <w:t>辆，其中，部级领导干部用车</w:t>
      </w:r>
      <w:r>
        <w:t>0</w:t>
      </w:r>
      <w:r>
        <w:rPr>
          <w:rFonts w:hint="eastAsia"/>
        </w:rPr>
        <w:t>辆、一般公务用车</w:t>
      </w:r>
      <w:r>
        <w:t>1</w:t>
      </w:r>
      <w:r>
        <w:rPr>
          <w:rFonts w:hint="eastAsia"/>
        </w:rPr>
        <w:t>辆、一般执法执勤用车</w:t>
      </w:r>
      <w:r>
        <w:t>0</w:t>
      </w:r>
      <w:r>
        <w:rPr>
          <w:rFonts w:hint="eastAsia"/>
        </w:rPr>
        <w:t>辆、特种专业技术用车</w:t>
      </w:r>
      <w:r>
        <w:t>0</w:t>
      </w:r>
      <w:r>
        <w:rPr>
          <w:rFonts w:hint="eastAsia"/>
        </w:rPr>
        <w:t>辆、其他用车</w:t>
      </w:r>
      <w:r>
        <w:t>0</w:t>
      </w:r>
      <w:r>
        <w:rPr>
          <w:rFonts w:hint="eastAsia"/>
        </w:rPr>
        <w:t>辆，其他用车没有，单位价值</w:t>
      </w:r>
      <w:r>
        <w:t>200</w:t>
      </w:r>
      <w:r>
        <w:rPr>
          <w:rFonts w:hint="eastAsia"/>
        </w:rPr>
        <w:t>万元以上大型设备</w:t>
      </w:r>
      <w:r>
        <w:t>0</w:t>
      </w:r>
      <w:r>
        <w:rPr>
          <w:rFonts w:hint="eastAsia"/>
        </w:rPr>
        <w:t>台（套）</w:t>
      </w:r>
    </w:p>
    <w:p>
      <w:pPr>
        <w:spacing w:line="520" w:lineRule="exact"/>
        <w:ind w:firstLine="31680"/>
      </w:pPr>
    </w:p>
    <w:p>
      <w:pPr>
        <w:spacing w:line="520" w:lineRule="exact"/>
        <w:ind w:firstLine="31680"/>
      </w:pPr>
    </w:p>
    <w:p>
      <w:pPr>
        <w:spacing w:line="520" w:lineRule="exact"/>
        <w:ind w:firstLine="31680"/>
      </w:pPr>
    </w:p>
    <w:p>
      <w:pPr>
        <w:spacing w:line="520" w:lineRule="exact"/>
        <w:ind w:firstLine="31680"/>
      </w:pPr>
    </w:p>
    <w:p>
      <w:pPr>
        <w:spacing w:line="520" w:lineRule="exact"/>
        <w:ind w:firstLine="31680"/>
        <w:jc w:val="right"/>
      </w:pPr>
    </w:p>
    <w:sectPr>
      <w:footerReference r:id="rId3" w:type="default"/>
      <w:footerReference r:id="rId4" w:type="even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5</w:t>
    </w:r>
    <w:r>
      <w:rPr>
        <w:rStyle w:val="31"/>
      </w:rPr>
      <w:fldChar w:fldCharType="end"/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end"/>
    </w:r>
  </w:p>
  <w:p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hint="default"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29">
    <w:name w:val="Default Paragraph Font"/>
    <w:semiHidden/>
    <w:uiPriority w:val="99"/>
  </w:style>
  <w:style w:type="table" w:default="1" w:styleId="3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Document Map"/>
    <w:basedOn w:val="1"/>
    <w:link w:val="182"/>
    <w:semiHidden/>
    <w:qFormat/>
    <w:uiPriority w:val="99"/>
    <w:rPr>
      <w:rFonts w:ascii="宋体" w:eastAsia="宋体"/>
      <w:sz w:val="18"/>
      <w:szCs w:val="18"/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3"/>
    <w:semiHidden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rFonts w:ascii="Calibri" w:hAnsi="Calibri" w:eastAsia="宋体"/>
      <w:sz w:val="18"/>
      <w:szCs w:val="18"/>
    </w:rPr>
  </w:style>
  <w:style w:type="paragraph" w:styleId="19">
    <w:name w:val="header"/>
    <w:basedOn w:val="1"/>
    <w:link w:val="184"/>
    <w:semiHidden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pacing w:line="240" w:lineRule="auto"/>
      <w:jc w:val="center"/>
    </w:pPr>
    <w:rPr>
      <w:rFonts w:ascii="Calibri" w:hAnsi="Calibri" w:eastAsia="宋体"/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30">
    <w:name w:val="endnote reference"/>
    <w:basedOn w:val="29"/>
    <w:semiHidden/>
    <w:unhideWhenUsed/>
    <w:uiPriority w:val="99"/>
    <w:rPr>
      <w:vertAlign w:val="superscript"/>
    </w:rPr>
  </w:style>
  <w:style w:type="character" w:styleId="31">
    <w:name w:val="page number"/>
    <w:basedOn w:val="29"/>
    <w:qFormat/>
    <w:uiPriority w:val="99"/>
    <w:rPr>
      <w:rFonts w:cs="Times New Roman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basedOn w:val="29"/>
    <w:unhideWhenUsed/>
    <w:uiPriority w:val="99"/>
    <w:rPr>
      <w:vertAlign w:val="superscript"/>
    </w:rPr>
  </w:style>
  <w:style w:type="table" w:styleId="35">
    <w:name w:val="Table Grid"/>
    <w:basedOn w:val="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36">
    <w:name w:val="Heading 1 Char"/>
    <w:basedOn w:val="29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29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29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29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29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29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29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29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29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7">
    <w:name w:val="Title Char"/>
    <w:basedOn w:val="29"/>
    <w:link w:val="28"/>
    <w:uiPriority w:val="10"/>
    <w:rPr>
      <w:sz w:val="48"/>
      <w:szCs w:val="48"/>
    </w:rPr>
  </w:style>
  <w:style w:type="character" w:customStyle="1" w:styleId="48">
    <w:name w:val="Subtitle Char"/>
    <w:basedOn w:val="29"/>
    <w:link w:val="22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Caption Char"/>
    <w:uiPriority w:val="99"/>
  </w:style>
  <w:style w:type="table" w:customStyle="1" w:styleId="54">
    <w:name w:val="Table Grid Light"/>
    <w:basedOn w:val="3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Plain Table 1"/>
    <w:basedOn w:val="3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2"/>
    <w:basedOn w:val="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3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4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5"/>
    <w:basedOn w:val="34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1 Light"/>
    <w:basedOn w:val="34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 - Accent 1"/>
    <w:basedOn w:val="34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2"/>
    <w:basedOn w:val="34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3"/>
    <w:basedOn w:val="34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4"/>
    <w:basedOn w:val="3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5"/>
    <w:basedOn w:val="34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6"/>
    <w:basedOn w:val="34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2"/>
    <w:basedOn w:val="3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 - Accent 1"/>
    <w:basedOn w:val="34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2"/>
    <w:basedOn w:val="3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4"/>
    <w:basedOn w:val="3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5"/>
    <w:basedOn w:val="34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6"/>
    <w:basedOn w:val="34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3"/>
    <w:basedOn w:val="3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 - Accent 1"/>
    <w:basedOn w:val="34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2"/>
    <w:basedOn w:val="3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3"/>
    <w:basedOn w:val="34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4"/>
    <w:basedOn w:val="3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5"/>
    <w:basedOn w:val="34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6"/>
    <w:basedOn w:val="34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4"/>
    <w:basedOn w:val="3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 - Accent 1"/>
    <w:basedOn w:val="34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2"/>
    <w:basedOn w:val="34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3"/>
    <w:basedOn w:val="34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4"/>
    <w:basedOn w:val="3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5"/>
    <w:basedOn w:val="34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6"/>
    <w:basedOn w:val="34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5 Dark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- Accent 1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band1Vert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 - Accent 2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band1Vert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3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band1Vert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- Accent 4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band1Vert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5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6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6 Colorful"/>
    <w:basedOn w:val="34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7E7E7E" w:themeColor="text1" w:themeShade="95" w:themeTint="80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>
        <w:tblLayout w:type="fixed"/>
      </w:tblPr>
    </w:tblStylePr>
    <w:tblStylePr w:type="firstCol">
      <w:rPr>
        <w:b/>
        <w:color w:val="7E7E7E" w:themeColor="text1" w:themeShade="95" w:themeTint="80"/>
      </w:rPr>
      <w:tblPr>
        <w:tblLayout w:type="fixed"/>
      </w:tblPr>
    </w:tblStylePr>
    <w:tblStylePr w:type="lastCol">
      <w:rPr>
        <w:b/>
        <w:color w:val="7E7E7E" w:themeColor="text1" w:themeShade="95" w:themeTint="80"/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 - Accent 1"/>
    <w:basedOn w:val="34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6BFDD" w:themeColor="accent1" w:themeShade="95" w:themeTint="80"/>
      </w:rPr>
      <w:tblPr>
        <w:tblLayout w:type="fixed"/>
      </w:tbl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>
        <w:tblLayout w:type="fixed"/>
      </w:tblPr>
    </w:tblStylePr>
    <w:tblStylePr w:type="firstCol">
      <w:rPr>
        <w:b/>
        <w:color w:val="A6BFDD" w:themeColor="accent1" w:themeShade="95" w:themeTint="80"/>
      </w:rPr>
      <w:tblPr>
        <w:tblLayout w:type="fixed"/>
      </w:tblPr>
    </w:tblStylePr>
    <w:tblStylePr w:type="lastCol">
      <w:rPr>
        <w:b/>
        <w:color w:val="A6BFDD" w:themeColor="accent1" w:themeShade="95" w:themeTint="80"/>
      </w:rPr>
      <w:tblPr>
        <w:tblLayout w:type="fixed"/>
      </w:tbl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2"/>
    <w:basedOn w:val="34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>
        <w:tblLayout w:type="fixed"/>
      </w:tblPr>
    </w:tblStylePr>
    <w:tblStylePr w:type="firstCol">
      <w:rPr>
        <w:b/>
        <w:color w:val="D99795" w:themeColor="accent2" w:themeShade="95" w:themeTint="97"/>
      </w:rPr>
      <w:tblPr>
        <w:tblLayout w:type="fixed"/>
      </w:tblPr>
    </w:tblStylePr>
    <w:tblStylePr w:type="lastCol">
      <w:rPr>
        <w:b/>
        <w:color w:val="D99795" w:themeColor="accent2" w:themeShade="95" w:themeTint="97"/>
      </w:rPr>
      <w:tblPr>
        <w:tblLayout w:type="fixed"/>
      </w:tbl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3"/>
    <w:basedOn w:val="34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Shade="95" w:themeTint="FE"/>
      </w:rPr>
      <w:tblPr>
        <w:tblLayout w:type="fixed"/>
      </w:tbl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>
        <w:tblLayout w:type="fixed"/>
      </w:tblPr>
    </w:tblStylePr>
    <w:tblStylePr w:type="firstCol">
      <w:rPr>
        <w:b/>
        <w:color w:val="9BBB59" w:themeColor="accent3" w:themeShade="95" w:themeTint="FE"/>
      </w:rPr>
      <w:tblPr>
        <w:tblLayout w:type="fixed"/>
      </w:tblPr>
    </w:tblStylePr>
    <w:tblStylePr w:type="lastCol">
      <w:rPr>
        <w:b/>
        <w:color w:val="9BBB59" w:themeColor="accent3" w:themeShade="95" w:themeTint="FE"/>
      </w:rPr>
      <w:tblPr>
        <w:tblLayout w:type="fixed"/>
      </w:tbl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4"/>
    <w:basedOn w:val="3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>
        <w:tblLayout w:type="fixed"/>
      </w:tblPr>
    </w:tblStylePr>
    <w:tblStylePr w:type="firstCol">
      <w:rPr>
        <w:b/>
        <w:color w:val="B2A1C6" w:themeColor="accent4" w:themeShade="95" w:themeTint="9A"/>
      </w:rPr>
      <w:tblPr>
        <w:tblLayout w:type="fixed"/>
      </w:tblPr>
    </w:tblStylePr>
    <w:tblStylePr w:type="lastCol">
      <w:rPr>
        <w:b/>
        <w:color w:val="B2A1C6" w:themeColor="accent4" w:themeShade="95" w:themeTint="9A"/>
      </w:rPr>
      <w:tblPr>
        <w:tblLayout w:type="fixed"/>
      </w:tbl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5"/>
    <w:basedOn w:val="34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9" w:themeColor="accent5" w:themeShade="95"/>
      </w:rPr>
      <w:tblPr>
        <w:tblLayout w:type="fixed"/>
      </w:tbl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>
        <w:tblLayout w:type="fixed"/>
      </w:tblPr>
    </w:tblStylePr>
    <w:tblStylePr w:type="firstCol">
      <w:rPr>
        <w:b/>
        <w:color w:val="266779" w:themeColor="accent5" w:themeShade="95"/>
      </w:rPr>
      <w:tblPr>
        <w:tblLayout w:type="fixed"/>
      </w:tblPr>
    </w:tblStylePr>
    <w:tblStylePr w:type="lastCol">
      <w:rPr>
        <w:b/>
        <w:color w:val="266779" w:themeColor="accent5" w:themeShade="95"/>
      </w:rPr>
      <w:tblPr>
        <w:tblLayout w:type="fixed"/>
      </w:tbl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9" w:themeColor="accent5" w:themeShade="95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6"/>
    <w:basedOn w:val="34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9" w:themeColor="accent5" w:themeShade="95"/>
      </w:rPr>
      <w:tblPr>
        <w:tblLayout w:type="fixed"/>
      </w:tbl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>
        <w:tblLayout w:type="fixed"/>
      </w:tblPr>
    </w:tblStylePr>
    <w:tblStylePr w:type="firstCol">
      <w:rPr>
        <w:b/>
        <w:color w:val="266779" w:themeColor="accent5" w:themeShade="95"/>
      </w:rPr>
      <w:tblPr>
        <w:tblLayout w:type="fixed"/>
      </w:tblPr>
    </w:tblStylePr>
    <w:tblStylePr w:type="lastCol">
      <w:rPr>
        <w:b/>
        <w:color w:val="266779" w:themeColor="accent5" w:themeShade="95"/>
      </w:rPr>
      <w:tblPr>
        <w:tblLayout w:type="fixed"/>
      </w:tbl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9" w:themeColor="accent5" w:themeShade="95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7 Colorful"/>
    <w:basedOn w:val="34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 - Accent 1"/>
    <w:basedOn w:val="34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>
        <w:tblLayout w:type="fixed"/>
      </w:tbl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>
        <w:tblLayout w:type="fixed"/>
      </w:tbl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2"/>
    <w:basedOn w:val="34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3"/>
    <w:basedOn w:val="34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>
        <w:tblLayout w:type="fixed"/>
      </w:tbl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4"/>
    <w:basedOn w:val="3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5"/>
    <w:basedOn w:val="34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9" w:themeColor="accent5" w:themeShade="95"/>
        <w:sz w:val="22"/>
      </w:rPr>
      <w:tblPr>
        <w:tblLayout w:type="fixed"/>
      </w:tbl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>
        <w:tblLayout w:type="fixed"/>
      </w:tbl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9" w:themeColor="accent5" w:themeShade="95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6"/>
    <w:basedOn w:val="34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15407" w:themeColor="accent6" w:themeShade="95"/>
        <w:sz w:val="22"/>
      </w:rPr>
      <w:tblPr>
        <w:tblLayout w:type="fixed"/>
      </w:tbl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>
        <w:tblLayout w:type="fixed"/>
      </w:tbl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15407" w:themeColor="accent6" w:themeShade="95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1 Light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 - Accent 1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2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3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4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5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6"/>
    <w:basedOn w:val="3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2"/>
    <w:basedOn w:val="34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 - Accent 1"/>
    <w:basedOn w:val="34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2"/>
    <w:basedOn w:val="34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3"/>
    <w:basedOn w:val="34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4"/>
    <w:basedOn w:val="3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5"/>
    <w:basedOn w:val="34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6"/>
    <w:basedOn w:val="34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3"/>
    <w:basedOn w:val="3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 - Accent 1"/>
    <w:basedOn w:val="34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2"/>
    <w:basedOn w:val="34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3"/>
    <w:basedOn w:val="34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4"/>
    <w:basedOn w:val="3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5"/>
    <w:basedOn w:val="34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6"/>
    <w:basedOn w:val="34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4"/>
    <w:basedOn w:val="3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 - Accent 1"/>
    <w:basedOn w:val="34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2"/>
    <w:basedOn w:val="34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3"/>
    <w:basedOn w:val="34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4"/>
    <w:basedOn w:val="3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5"/>
    <w:basedOn w:val="34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6"/>
    <w:basedOn w:val="34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5 Dark"/>
    <w:basedOn w:val="34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 - Accent 1"/>
    <w:basedOn w:val="34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2"/>
    <w:basedOn w:val="34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3"/>
    <w:basedOn w:val="34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4"/>
    <w:basedOn w:val="3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5"/>
    <w:basedOn w:val="34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6"/>
    <w:basedOn w:val="34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6 Colorful"/>
    <w:basedOn w:val="34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>
        <w:tblLayout w:type="fixed"/>
      </w:tblPr>
    </w:tblStylePr>
    <w:tblStylePr w:type="lastCol">
      <w:rPr>
        <w:b/>
        <w:color w:val="000000" w:themeColor="text1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 - Accent 1"/>
    <w:basedOn w:val="34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5"/>
      </w:rPr>
      <w:tblPr>
        <w:tblLayout w:type="fixed"/>
      </w:tbl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>
        <w:tblLayout w:type="fixed"/>
      </w:tbl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>
        <w:tblLayout w:type="fixed"/>
      </w:tblPr>
    </w:tblStylePr>
    <w:tblStylePr w:type="lastCol">
      <w:rPr>
        <w:b/>
        <w:color w:val="2A4B71" w:themeColor="accent1" w:themeShade="95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5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2"/>
    <w:basedOn w:val="34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blPr>
        <w:tblLayout w:type="fixed"/>
      </w:tbl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>
        <w:tblLayout w:type="fixed"/>
      </w:tblPr>
    </w:tblStylePr>
    <w:tblStylePr w:type="lastCol">
      <w:rPr>
        <w:b/>
        <w:color w:val="D99795" w:themeColor="accent2" w:themeShade="95" w:themeTint="97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3"/>
    <w:basedOn w:val="34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C" w:themeColor="accent3" w:themeShade="95" w:themeTint="98"/>
      </w:rPr>
      <w:tblPr>
        <w:tblLayout w:type="fixed"/>
      </w:tbl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>
        <w:tblLayout w:type="fixed"/>
      </w:tbl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>
        <w:tblLayout w:type="fixed"/>
      </w:tblPr>
    </w:tblStylePr>
    <w:tblStylePr w:type="lastCol">
      <w:rPr>
        <w:b/>
        <w:color w:val="C3D69C" w:themeColor="accent3" w:themeShade="95" w:themeTint="98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4"/>
    <w:basedOn w:val="3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blPr>
        <w:tblLayout w:type="fixed"/>
      </w:tbl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>
        <w:tblLayout w:type="fixed"/>
      </w:tblPr>
    </w:tblStylePr>
    <w:tblStylePr w:type="lastCol">
      <w:rPr>
        <w:b/>
        <w:color w:val="B2A1C6" w:themeColor="accent4" w:themeShade="95" w:themeTint="9A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5"/>
    <w:basedOn w:val="34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2CCDC" w:themeColor="accent5" w:themeShade="95" w:themeTint="9A"/>
      </w:rPr>
      <w:tblPr>
        <w:tblLayout w:type="fixed"/>
      </w:tbl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>
        <w:tblLayout w:type="fixed"/>
      </w:tbl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>
        <w:tblLayout w:type="fixed"/>
      </w:tblPr>
    </w:tblStylePr>
    <w:tblStylePr w:type="lastCol">
      <w:rPr>
        <w:b/>
        <w:color w:val="92CCDC" w:themeColor="accent5" w:themeShade="95" w:themeTint="9A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6"/>
    <w:basedOn w:val="34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Shade="95" w:themeTint="98"/>
      </w:rPr>
      <w:tblPr>
        <w:tblLayout w:type="fixed"/>
      </w:tbl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>
        <w:tblLayout w:type="fixed"/>
      </w:tbl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>
        <w:tblLayout w:type="fixed"/>
      </w:tblPr>
    </w:tblStylePr>
    <w:tblStylePr w:type="lastCol">
      <w:rPr>
        <w:b/>
        <w:color w:val="FAC090" w:themeColor="accent6" w:themeShade="95" w:themeTint="98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7 Colorful"/>
    <w:basedOn w:val="34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 - Accent 1"/>
    <w:basedOn w:val="34"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5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2"/>
    <w:basedOn w:val="34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3"/>
    <w:basedOn w:val="34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4"/>
    <w:basedOn w:val="3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5"/>
    <w:basedOn w:val="34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6"/>
    <w:basedOn w:val="34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ned - Accent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 1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2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3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4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5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6"/>
    <w:basedOn w:val="3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Bordered &amp; Lined - Accent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 1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2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3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4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5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6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"/>
    <w:basedOn w:val="34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- Accent 1"/>
    <w:basedOn w:val="34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2"/>
    <w:basedOn w:val="34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3"/>
    <w:basedOn w:val="34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4"/>
    <w:basedOn w:val="3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5"/>
    <w:basedOn w:val="34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6"/>
    <w:basedOn w:val="34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79">
    <w:name w:val="Footnote Text Char"/>
    <w:link w:val="23"/>
    <w:uiPriority w:val="99"/>
    <w:rPr>
      <w:sz w:val="18"/>
    </w:rPr>
  </w:style>
  <w:style w:type="character" w:customStyle="1" w:styleId="180">
    <w:name w:val="Endnote Text Char"/>
    <w:link w:val="17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character" w:customStyle="1" w:styleId="182">
    <w:name w:val="Document Map Char"/>
    <w:basedOn w:val="29"/>
    <w:link w:val="1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3">
    <w:name w:val="Footer Char"/>
    <w:basedOn w:val="29"/>
    <w:link w:val="18"/>
    <w:semiHidden/>
    <w:uiPriority w:val="99"/>
    <w:rPr>
      <w:rFonts w:cs="Times New Roman"/>
      <w:sz w:val="18"/>
      <w:szCs w:val="18"/>
    </w:rPr>
  </w:style>
  <w:style w:type="character" w:customStyle="1" w:styleId="184">
    <w:name w:val="Header Char"/>
    <w:basedOn w:val="29"/>
    <w:link w:val="19"/>
    <w:semiHidden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上海财经大学</Company>
  <TotalTime>1</TotalTime>
  <ScaleCrop>false</ScaleCrop>
  <LinksUpToDate>false</LinksUpToDate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2016-08-12T15:18:00Z</dcterms:created>
  <dc:creator>微软用户</dc:creator>
  <cp:lastModifiedBy>采稿</cp:lastModifiedBy>
  <dcterms:modified xsi:type="dcterms:W3CDTF">2024-12-09T06:50:37Z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