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2019年国民经济和社会发展统计公报</w:t>
      </w:r>
    </w:p>
    <w:p>
      <w:pPr>
        <w:widowControl/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widowControl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在市委、市政府的坚强领导下，在市人大、市政协的监督和支持下，在全市干部群众的共同努力下，凯里市坚持以习近平新时代中国特色社会主义思想为指导，全面深入贯彻落实中央和省、州重大决策部署，牢牢守好生态和发展两条底线，全力打好防范化解重大风险、精准脱贫、污染防治“三大攻坚战”，统筹做好稳增长、促改革、调结构、惠民生、防风险、保稳定等各项工作，决战决胜脱贫攻坚、全面建成小康社会取得重大进展，城乡面貌显著变化，</w:t>
      </w:r>
      <w:r>
        <w:rPr>
          <w:rFonts w:hint="eastAsia" w:eastAsia="仿宋_GB2312"/>
          <w:sz w:val="32"/>
          <w:szCs w:val="32"/>
        </w:rPr>
        <w:t>全市呈现</w:t>
      </w:r>
      <w:r>
        <w:rPr>
          <w:rFonts w:eastAsia="仿宋_GB2312"/>
          <w:sz w:val="32"/>
          <w:szCs w:val="32"/>
        </w:rPr>
        <w:t>经济</w:t>
      </w:r>
      <w:r>
        <w:rPr>
          <w:rFonts w:hint="eastAsia" w:eastAsia="仿宋_GB2312"/>
          <w:sz w:val="32"/>
          <w:szCs w:val="32"/>
        </w:rPr>
        <w:t>较快发展、社会和谐稳定、群众安居乐业、民生福祉持续增进，各项事业全面发展的良好态势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一、综合</w:t>
      </w:r>
    </w:p>
    <w:p>
      <w:pPr>
        <w:adjustRightIn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初步核算，全市实现生产总值（GDP）271.92亿元，比上年增长（按可比价计算）11.0%。其中：第一产业增加值17.98亿元，同比增长5.8%；第二产业增加值56.38亿元，同比增长8.3%；第三产业增加值197.56亿元，同比增长12.4%。第一、二、三产业对经济增长的贡献率分别为3.75%、17.09%、79.16%，三次产业占比为6.6:20.7:72.7。人均生产总值49620元，同比增长10.6%，按年末汇率折算（698.8）约合7193美元。小康总体实现程度预计为97.1%。</w:t>
      </w:r>
    </w:p>
    <w:p>
      <w:pPr>
        <w:widowControl/>
        <w:spacing w:before="100" w:beforeAutospacing="1" w:after="100" w:afterAutospacing="1" w:line="345" w:lineRule="atLeast"/>
        <w:ind w:left="0"/>
        <w:jc w:val="center"/>
      </w:pPr>
    </w:p>
    <w:p>
      <w:pPr>
        <w:pStyle w:val="2"/>
        <w:ind w:firstLine="400"/>
      </w:pPr>
      <w:r>
        <w:rPr>
          <w:rFonts w:hint="eastAsia"/>
        </w:rPr>
        <w:t xml:space="preserve">   </w:t>
      </w: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pStyle w:val="2"/>
        <w:ind w:firstLine="400"/>
      </w:pPr>
      <w:r>
        <w:drawing>
          <wp:inline distT="0" distB="0" distL="114300" distR="114300">
            <wp:extent cx="4704715" cy="3542030"/>
            <wp:effectExtent l="0" t="0" r="635" b="127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2"/>
        <w:ind w:firstLine="0" w:firstLineChars="0"/>
      </w:pPr>
    </w:p>
    <w:p>
      <w:pPr>
        <w:widowControl/>
        <w:spacing w:before="100" w:beforeAutospacing="1" w:after="100" w:afterAutospacing="1" w:line="345" w:lineRule="atLeast"/>
        <w:ind w:left="0"/>
        <w:jc w:val="center"/>
      </w:pPr>
      <w:r>
        <w:drawing>
          <wp:inline distT="0" distB="0" distL="114300" distR="114300">
            <wp:extent cx="5133975" cy="3448050"/>
            <wp:effectExtent l="0" t="0" r="9525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widowControl/>
        <w:spacing w:before="100" w:beforeAutospacing="1" w:after="100" w:afterAutospacing="1" w:line="345" w:lineRule="atLeast"/>
        <w:ind w:left="0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W w:w="7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2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表1　 居民消费价格指数表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物价指数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(上年同期=100)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居民消费价格总指数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非食品烟酒价格指数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食品(原口径)指数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非食品（原口径）指数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服务价格指数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工业品价格指数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鲜活食品价格指数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消费品价格指数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630" w:firstLineChars="3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能源价格指数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630" w:firstLineChars="3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非食品价格指数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扣除食品和能源价格指数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扣除鲜菜鲜果价格指数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扣除自有住房价格指数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居住(扣除自有住房)价格指数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一、食品烟酒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1.食品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630" w:firstLineChars="3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(1)粮食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(2)薯类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72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(3)豆类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(6)食用油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(5)菜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(6)畜肉类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(7)禽肉类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(8)水产品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(9)蛋类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630" w:firstLineChars="3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(10)奶类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(11)干鲜瓜果类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(12)糖果糕点类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(13)调味品 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(14)其他食品类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2.茶及饮料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630" w:firstLineChars="3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3.烟酒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(1)烟草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(2)酒类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4.在外餐饮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二、衣着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1.服装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2.服装材料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3.其他衣着及配件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4.衣着加工服务费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5.鞋类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三、居住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1.租赁房房租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2.住房保养维修及管理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3.水电燃料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4.自有住房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四、生活用品及服务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1.家具及室内装饰品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2.家用器具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3.家用纺织品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4.家庭日用杂品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5.个人护理用品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6.家庭服务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五、交通和通信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1.交通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2.通信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六、教育文化和娱乐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1.教育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2.文化娱乐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七、医疗保健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1.药品及医疗器具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2.医疗用品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八、其他用品和服务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1.其他用品类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2.其他服务类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99.3</w:t>
            </w:r>
          </w:p>
        </w:tc>
      </w:tr>
    </w:tbl>
    <w:p>
      <w:pPr>
        <w:widowControl/>
        <w:spacing w:line="240" w:lineRule="auto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全年居民消费价格总指数（CPI）比上年上涨 2.0 %。其中，</w:t>
      </w:r>
      <w:r>
        <w:rPr>
          <w:rFonts w:hint="eastAsia" w:ascii="仿宋_GB2312" w:hAnsi="宋体" w:eastAsia="仿宋_GB2312" w:cs="宋体"/>
          <w:sz w:val="32"/>
          <w:szCs w:val="32"/>
        </w:rPr>
        <w:t>非食品烟酒价格指数下降0.2%，食品(原口径)指数上涨7.4%，非食品（原口径）指数下降0.1%，</w:t>
      </w:r>
      <w:r>
        <w:rPr>
          <w:rFonts w:hint="eastAsia" w:ascii="仿宋_GB2312" w:hAnsi="仿宋" w:eastAsia="仿宋_GB2312" w:cs="仿宋"/>
          <w:sz w:val="32"/>
          <w:szCs w:val="32"/>
        </w:rPr>
        <w:t>服务价格上涨0.7 %；工业品价格指数下降1.1%，</w:t>
      </w:r>
      <w:r>
        <w:rPr>
          <w:rFonts w:hint="eastAsia" w:ascii="仿宋_GB2312" w:hAnsi="宋体" w:eastAsia="仿宋_GB2312" w:cs="宋体"/>
          <w:sz w:val="32"/>
          <w:szCs w:val="32"/>
        </w:rPr>
        <w:t>鲜活食品价格指数上涨12.3%，</w:t>
      </w:r>
      <w:r>
        <w:rPr>
          <w:rFonts w:hint="eastAsia" w:ascii="仿宋_GB2312" w:hAnsi="仿宋" w:eastAsia="仿宋_GB2312" w:cs="仿宋"/>
          <w:sz w:val="32"/>
          <w:szCs w:val="32"/>
        </w:rPr>
        <w:t>消费品价格上涨2.7%，</w:t>
      </w:r>
      <w:r>
        <w:rPr>
          <w:rFonts w:hint="eastAsia" w:ascii="仿宋_GB2312" w:hAnsi="宋体" w:eastAsia="仿宋_GB2312" w:cs="宋体"/>
          <w:sz w:val="32"/>
          <w:szCs w:val="32"/>
        </w:rPr>
        <w:t>能源价格指数下降2.6%，非食品价格指数上涨0.1%，扣除食品和能源价格指数上涨0.3%，扣除鲜菜鲜果价格指数上涨1.8%，扣除自有住房价格指数上涨2.0%，居住(扣除自有住房)价格指数持平。</w:t>
      </w:r>
      <w:r>
        <w:rPr>
          <w:rFonts w:hint="eastAsia" w:ascii="仿宋_GB2312" w:hAnsi="仿宋" w:eastAsia="仿宋_GB2312" w:cs="仿宋"/>
          <w:sz w:val="32"/>
          <w:szCs w:val="32"/>
        </w:rPr>
        <w:t>八大类价格指数呈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“5升3降”</w:t>
      </w:r>
      <w:r>
        <w:rPr>
          <w:rFonts w:hint="eastAsia" w:ascii="仿宋_GB2312" w:hAnsi="仿宋" w:eastAsia="仿宋_GB2312" w:cs="仿宋"/>
          <w:sz w:val="32"/>
          <w:szCs w:val="32"/>
        </w:rPr>
        <w:t>（见表1）。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5升：</w:t>
      </w:r>
      <w:r>
        <w:rPr>
          <w:rFonts w:ascii="Calibri" w:hAnsi="Calibri" w:eastAsia="仿宋_GB2312" w:cs="Calibri"/>
          <w:b/>
          <w:bCs/>
          <w:sz w:val="32"/>
          <w:szCs w:val="32"/>
        </w:rPr>
        <w:t>1</w:t>
      </w:r>
      <w:r>
        <w:rPr>
          <w:rFonts w:hint="eastAsia" w:ascii="Calibri" w:hAnsi="Calibri" w:eastAsia="仿宋_GB2312" w:cs="Calibri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食品烟酒价格上涨6.8 %。其中：食品价格上涨9.2%，在食品中，畜肉类价格上涨24.9% 、食用油价格上涨9.8%、禽肉类价格上涨6.6%、蛋类价格上涨6.5%、菜价格上涨1.2%、粮食价格上涨1.1%、水产品价格上涨1.1%；</w:t>
      </w:r>
      <w:r>
        <w:rPr>
          <w:rFonts w:ascii="Calibri" w:hAnsi="Calibri" w:eastAsia="仿宋_GB2312" w:cs="Calibri"/>
          <w:b/>
          <w:bCs/>
          <w:sz w:val="32"/>
          <w:szCs w:val="32"/>
        </w:rPr>
        <w:t>2</w:t>
      </w:r>
      <w:r>
        <w:rPr>
          <w:rFonts w:hint="eastAsia" w:ascii="Calibri" w:hAnsi="Calibri" w:eastAsia="仿宋_GB2312" w:cs="Calibri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医疗保健价格上涨4.0%;</w:t>
      </w:r>
      <w:r>
        <w:rPr>
          <w:rFonts w:ascii="Calibri" w:hAnsi="Calibri" w:eastAsia="仿宋_GB2312" w:cs="Calibri"/>
          <w:sz w:val="32"/>
          <w:szCs w:val="32"/>
        </w:rPr>
        <w:t>3</w:t>
      </w:r>
      <w:r>
        <w:rPr>
          <w:rFonts w:hint="eastAsia" w:ascii="Calibri" w:hAnsi="Calibri" w:eastAsia="仿宋_GB2312" w:cs="Calibri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其他用品和服务价格上涨2.1%；</w:t>
      </w:r>
      <w:r>
        <w:rPr>
          <w:rFonts w:hint="eastAsia" w:ascii="宋体" w:hAnsi="宋体" w:cs="宋体"/>
          <w:b/>
          <w:bCs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sz w:val="32"/>
          <w:szCs w:val="32"/>
        </w:rPr>
        <w:t>居住价格上涨0.7%；</w:t>
      </w:r>
      <w:r>
        <w:rPr>
          <w:rFonts w:hint="eastAsia" w:ascii="宋体" w:hAnsi="宋体" w:cs="宋体"/>
          <w:b/>
          <w:bCs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sz w:val="32"/>
          <w:szCs w:val="32"/>
        </w:rPr>
        <w:t>生活用品及服务价格上涨0.3%；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3降：</w:t>
      </w:r>
      <w:r>
        <w:rPr>
          <w:rFonts w:ascii="Calibri" w:hAnsi="Calibri" w:eastAsia="仿宋_GB2312" w:cs="Calibri"/>
          <w:b/>
          <w:bCs/>
          <w:sz w:val="32"/>
          <w:szCs w:val="32"/>
        </w:rPr>
        <w:t>1</w:t>
      </w:r>
      <w:r>
        <w:rPr>
          <w:rFonts w:hint="eastAsia" w:ascii="Calibri" w:hAnsi="Calibri" w:eastAsia="仿宋_GB2312" w:cs="Calibri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衣着价格下降2.7%；</w:t>
      </w:r>
      <w:r>
        <w:rPr>
          <w:rFonts w:ascii="Calibri" w:hAnsi="Calibri" w:eastAsia="仿宋_GB2312" w:cs="Calibri"/>
          <w:b/>
          <w:bCs/>
          <w:sz w:val="32"/>
          <w:szCs w:val="32"/>
        </w:rPr>
        <w:t>2</w:t>
      </w:r>
      <w:r>
        <w:rPr>
          <w:rFonts w:hint="eastAsia" w:ascii="Calibri" w:hAnsi="Calibri" w:eastAsia="仿宋_GB2312" w:cs="Calibri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交通和通信价格下降2.7%；</w:t>
      </w:r>
      <w:r>
        <w:rPr>
          <w:rFonts w:ascii="Calibri" w:hAnsi="Calibri" w:eastAsia="仿宋_GB2312" w:cs="Calibri"/>
          <w:b/>
          <w:bCs/>
          <w:sz w:val="32"/>
          <w:szCs w:val="32"/>
        </w:rPr>
        <w:t>3</w:t>
      </w:r>
      <w:r>
        <w:rPr>
          <w:rFonts w:hint="eastAsia" w:ascii="Calibri" w:hAnsi="Calibri" w:eastAsia="仿宋_GB2312" w:cs="Calibri"/>
          <w:b/>
          <w:bCs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教育文化和娱乐价格下降0.7%。</w:t>
      </w:r>
    </w:p>
    <w:p>
      <w:pPr>
        <w:widowControl/>
        <w:spacing w:line="560" w:lineRule="exact"/>
        <w:ind w:left="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，我市城镇新增就业22338人，同比增长0.02%；促进失业人员实现再就业1926人，其中就业困难人员实现再就业1258人；转移农业劳动力就业6456人；组织职业技能培训2350人；完成小额担保贷款2315万元，城镇登记失业人员4135人，城镇登记失业率2.91%。</w:t>
      </w:r>
    </w:p>
    <w:p>
      <w:pPr>
        <w:pStyle w:val="24"/>
        <w:spacing w:before="0" w:beforeAutospacing="0" w:after="0" w:afterAutospacing="0" w:line="560" w:lineRule="exact"/>
        <w:ind w:firstLine="646"/>
        <w:contextualSpacing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二、农业</w:t>
      </w:r>
    </w:p>
    <w:p>
      <w:pPr>
        <w:widowControl/>
        <w:spacing w:line="560" w:lineRule="exact"/>
        <w:ind w:firstLine="640"/>
        <w:jc w:val="left"/>
        <w:rPr>
          <w:rFonts w:ascii="宋体" w:hAnsi="宋体" w:cs="宋体"/>
          <w:sz w:val="24"/>
          <w:szCs w:val="24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全年农林牧渔业总产值311714万元，比上年增长5.9%。畜牧业产值比重为22.8%，非粮农业增加值占比达94.4%，粮经比</w:t>
      </w:r>
      <w:r>
        <w:rPr>
          <w:rFonts w:ascii="宋体" w:hAnsi="宋体" w:cs="宋体"/>
          <w:sz w:val="24"/>
          <w:szCs w:val="24"/>
        </w:rPr>
        <w:t>45.5：54.5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农作物总播种面积37925公顷，同比增长2.5%。其中：粮食播种面积17045公顷，同比下降1.62%，经济作物面积20880公顷，增长6.2%。粮食总产量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87575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吨（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折粮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），比上年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898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吨，同比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1.0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%；水果产量45045吨，增长19.8%；蔬菜产量440136吨，增长7.8%；油料产量4632吨，下降20.7%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林业：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截止2019年末拥有</w:t>
      </w:r>
      <w:r>
        <w:rPr>
          <w:rFonts w:hint="eastAsia" w:ascii="仿宋_GB2312" w:hAnsi="黑体" w:eastAsia="仿宋_GB2312"/>
          <w:sz w:val="32"/>
          <w:szCs w:val="32"/>
        </w:rPr>
        <w:t>人工造林348</w:t>
      </w:r>
      <w:r>
        <w:rPr>
          <w:rFonts w:ascii="仿宋_GB2312" w:hAnsi="黑体" w:eastAsia="仿宋_GB2312"/>
          <w:sz w:val="32"/>
          <w:szCs w:val="32"/>
        </w:rPr>
        <w:t>公顷，年末实有封山育林面积</w:t>
      </w:r>
      <w:r>
        <w:rPr>
          <w:rFonts w:hint="eastAsia" w:ascii="仿宋_GB2312" w:hAnsi="黑体" w:eastAsia="仿宋_GB2312"/>
          <w:sz w:val="32"/>
          <w:szCs w:val="32"/>
        </w:rPr>
        <w:t>1653</w:t>
      </w:r>
      <w:r>
        <w:rPr>
          <w:rFonts w:ascii="仿宋_GB2312" w:hAnsi="黑体" w:eastAsia="仿宋_GB2312"/>
          <w:sz w:val="32"/>
          <w:szCs w:val="32"/>
        </w:rPr>
        <w:t>公顷，</w:t>
      </w:r>
      <w:r>
        <w:rPr>
          <w:rFonts w:hint="eastAsia" w:ascii="仿宋_GB2312" w:hAnsi="黑体" w:eastAsia="仿宋_GB2312"/>
          <w:sz w:val="32"/>
          <w:szCs w:val="32"/>
        </w:rPr>
        <w:t>森林覆盖率达56.35</w:t>
      </w:r>
      <w:r>
        <w:rPr>
          <w:rFonts w:ascii="仿宋_GB2312" w:hAnsi="黑体" w:eastAsia="仿宋_GB2312"/>
          <w:sz w:val="32"/>
          <w:szCs w:val="32"/>
        </w:rPr>
        <w:t>%。</w:t>
      </w:r>
    </w:p>
    <w:p>
      <w:pPr>
        <w:pStyle w:val="24"/>
        <w:spacing w:before="0" w:beforeAutospacing="0" w:after="0" w:afterAutospacing="0" w:line="560" w:lineRule="exact"/>
        <w:ind w:left="0" w:firstLine="646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畜牧业：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完成肉类总产量</w:t>
      </w:r>
      <w:r>
        <w:rPr>
          <w:rFonts w:hint="eastAsia" w:ascii="仿宋_GB2312" w:hAnsi="黑体" w:eastAsia="仿宋_GB2312"/>
          <w:sz w:val="32"/>
          <w:szCs w:val="32"/>
        </w:rPr>
        <w:t>14756.82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吨，下降1.57%；</w:t>
      </w:r>
      <w:r>
        <w:rPr>
          <w:rFonts w:hint="eastAsia" w:ascii="仿宋_GB2312" w:eastAsia="仿宋_GB2312"/>
          <w:sz w:val="32"/>
          <w:szCs w:val="32"/>
        </w:rPr>
        <w:t>禽蛋1397吨，增长18.12%。肉猪出栏数121408头，下降9.39%，年末生猪存栏数86947头，下降20.95%，大牲畜年末存栏数29911头，增长2.34%。</w:t>
      </w:r>
    </w:p>
    <w:p>
      <w:pPr>
        <w:pStyle w:val="24"/>
        <w:spacing w:before="0" w:beforeAutospacing="0" w:after="0" w:afterAutospacing="0" w:line="560" w:lineRule="exact"/>
        <w:ind w:left="0" w:firstLine="646"/>
        <w:contextualSpacing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8006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2459"/>
        <w:gridCol w:w="2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表2　主要农产品产量      单位：吨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指标名称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2019年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比上年增长（%）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粮食总产量（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 w:bidi="ar"/>
              </w:rPr>
              <w:t>折粮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87575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#夏粮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秋粮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80356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-0.6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粮食作物 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87575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水稻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64017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玉米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8586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薯类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13021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豆类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1699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-10.9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油料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4632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-20.8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#花生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2069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-29.4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油菜籽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2363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-18.7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烤烟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525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440136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水果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45045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19.8</w:t>
            </w:r>
          </w:p>
        </w:tc>
      </w:tr>
    </w:tbl>
    <w:p>
      <w:pPr>
        <w:pStyle w:val="24"/>
        <w:spacing w:before="0" w:beforeAutospacing="0" w:after="0" w:afterAutospacing="0" w:line="560" w:lineRule="exact"/>
        <w:ind w:left="0" w:firstLine="646"/>
        <w:contextualSpacing/>
        <w:rPr>
          <w:rFonts w:asciiTheme="minorEastAsia" w:hAnsiTheme="minorEastAsia" w:eastAsiaTheme="minorEastAsia" w:cstheme="minorEastAsia"/>
          <w:sz w:val="21"/>
          <w:szCs w:val="21"/>
          <w:highlight w:val="yellow"/>
        </w:rPr>
      </w:pPr>
    </w:p>
    <w:tbl>
      <w:tblPr>
        <w:tblStyle w:val="12"/>
        <w:tblW w:w="8006" w:type="dxa"/>
        <w:tblInd w:w="6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209"/>
        <w:gridCol w:w="1696"/>
        <w:gridCol w:w="1693"/>
        <w:gridCol w:w="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ind w:firstLine="643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sz w:val="32"/>
                <w:szCs w:val="32"/>
                <w:lang w:bidi="ar"/>
              </w:rPr>
            </w:pPr>
          </w:p>
          <w:p>
            <w:pPr>
              <w:widowControl/>
              <w:ind w:left="0" w:firstLine="1285" w:firstLineChars="40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  <w:lang w:bidi="ar"/>
              </w:rPr>
              <w:t>表3　　主要畜产品产量和畜牧存栏数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bidi="ar"/>
              </w:rPr>
              <w:t>畜产品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bidi="ar"/>
              </w:rPr>
              <w:t>比上年增长(%)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肉类总产量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14756.82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-1.57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#猪肉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10845.47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-8.15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牛肉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1040.3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2.68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羊肉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94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-6.08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禽肉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2602.23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35.76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牛奶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531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-14.77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禽蛋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1397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18.12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大牲畜年末存栏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29911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2.34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#牛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28301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2.83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猪存栏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86947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-20.95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 羊年末存栏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只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5163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-21.04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水产品产量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--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--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0" w:firstLine="640" w:firstLineChars="200"/>
        <w:rPr>
          <w:rFonts w:ascii="仿宋_GB2312" w:hAnsi="宋体" w:eastAsia="仿宋_GB2312" w:cs="宋体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z w:val="32"/>
          <w:szCs w:val="32"/>
          <w:lang w:bidi="ar"/>
        </w:rPr>
        <w:t>农业生产条件和农村基础设施进一步改善。全市农业机械总动力27.103万千瓦；农村用电量7843万千瓦时，增长6.47%；全年化肥施用量6133吨（折纯），下降2.24%；有效灌溉面积11708.65公顷；自来水受益村166个，自来水普及率100%；通电话的村166个，占总村数的100%。</w:t>
      </w:r>
    </w:p>
    <w:p>
      <w:pPr>
        <w:pStyle w:val="24"/>
        <w:spacing w:before="0" w:beforeAutospacing="0" w:after="0" w:afterAutospacing="0" w:line="560" w:lineRule="exact"/>
        <w:contextualSpacing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　　三、工业和建筑业</w:t>
      </w:r>
    </w:p>
    <w:p>
      <w:pPr>
        <w:widowControl/>
        <w:spacing w:line="560" w:lineRule="exact"/>
        <w:ind w:left="0" w:firstLine="636" w:firstLineChars="198"/>
        <w:contextualSpacing/>
        <w:rPr>
          <w:rFonts w:ascii="仿宋_GB2312" w:hAnsi="宋体" w:eastAsia="仿宋_GB2312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工业：</w:t>
      </w:r>
      <w:r>
        <w:rPr>
          <w:rFonts w:hint="eastAsia" w:ascii="仿宋_GB2312" w:hAnsi="宋体" w:eastAsia="仿宋_GB2312" w:cs="宋体"/>
          <w:sz w:val="32"/>
          <w:szCs w:val="32"/>
        </w:rPr>
        <w:t>凯里地区规模以上工业企业62家，规上工业增加值同比增长0.3%。分轻重工业看，轻工业增加值同比下降0.4%，占规模以上工业增加值的比重为15.22%；重工业增加值同比增长0.5%，占规模以上工业增加值的比重为84.78%。市属企业同比下降5.31%，园区企业同比增长3.11%。工业战略性新兴产业增加值同比增长21.1%，规模以上工业全年主营业务收入同比下降14.85%，企业产品产销率为95.2%，亏损企业15家，亏损面为24.19%。</w:t>
      </w:r>
    </w:p>
    <w:p>
      <w:pPr>
        <w:widowControl/>
        <w:spacing w:line="540" w:lineRule="exact"/>
        <w:contextualSpacing/>
        <w:rPr>
          <w:rFonts w:ascii="仿宋_GB2312" w:hAnsi="宋体" w:eastAsia="仿宋_GB2312"/>
          <w:sz w:val="30"/>
          <w:szCs w:val="30"/>
          <w:highlight w:val="yellow"/>
        </w:rPr>
      </w:pPr>
    </w:p>
    <w:p>
      <w:pPr>
        <w:widowControl/>
        <w:spacing w:line="540" w:lineRule="exact"/>
        <w:ind w:firstLine="1928" w:firstLineChars="600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表4　 规模以上工业企业主要产品产量</w:t>
      </w:r>
    </w:p>
    <w:tbl>
      <w:tblPr>
        <w:tblStyle w:val="12"/>
        <w:tblW w:w="7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192"/>
        <w:gridCol w:w="1481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2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　产品名称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本月止累计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同期相比%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水泥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200.16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-11.48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氧化铝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75.58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-21.81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商品混凝土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万立方米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200.99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陶质砖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万平方米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690.36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2.18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啤酒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万千升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8.45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-7.35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平板玻璃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万重量箱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318.33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11.25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电子元件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万只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20403.00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-12.58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自来水生产量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万吨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3202.00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>-9.57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粉末冶金零件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1536.50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中成药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424.00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bidi="ar"/>
              </w:rPr>
              <w:t xml:space="preserve">-11.67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饲料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80437.57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9.85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铁合金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吨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76521.02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 xml:space="preserve">10.85 </w:t>
            </w:r>
          </w:p>
        </w:tc>
      </w:tr>
    </w:tbl>
    <w:p>
      <w:pPr>
        <w:widowControl/>
        <w:spacing w:line="540" w:lineRule="exact"/>
        <w:ind w:left="0" w:firstLine="633" w:firstLineChars="198"/>
        <w:contextualSpacing/>
        <w:rPr>
          <w:rFonts w:ascii="仿宋_GB2312" w:hAnsi="宋体" w:eastAsia="仿宋_GB2312"/>
          <w:sz w:val="32"/>
          <w:szCs w:val="30"/>
        </w:rPr>
      </w:pPr>
    </w:p>
    <w:p>
      <w:pPr>
        <w:widowControl/>
        <w:spacing w:line="560" w:lineRule="exact"/>
        <w:ind w:left="0" w:firstLine="633" w:firstLineChars="198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辖区内全部工业实现工业增加值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261493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万元，比上年增长1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.9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.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建筑业：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全社会建筑业增加值30.23亿元，比上年增长15.6%。其中：资质以上建筑企业共完成建筑业总产值84.92亿元，同比下降9.3%。房屋施工面积237.4万平方米，同比下降5.7%。</w:t>
      </w:r>
    </w:p>
    <w:p>
      <w:pPr>
        <w:widowControl/>
        <w:spacing w:line="560" w:lineRule="exact"/>
        <w:ind w:left="0" w:firstLine="633" w:firstLineChars="198"/>
        <w:contextualSpacing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四、固定资产投资和房地产开发</w:t>
      </w:r>
    </w:p>
    <w:p>
      <w:pPr>
        <w:widowControl/>
        <w:spacing w:line="560" w:lineRule="exact"/>
        <w:ind w:firstLine="643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固定资产投资：</w:t>
      </w:r>
      <w:r>
        <w:rPr>
          <w:rFonts w:hint="eastAsia" w:ascii="仿宋_GB2312" w:hAnsi="宋体" w:eastAsia="仿宋_GB2312" w:cs="宋体"/>
          <w:sz w:val="32"/>
          <w:szCs w:val="32"/>
        </w:rPr>
        <w:t>500万元以上固定资产投资同比增长1.9%。其中，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建筑安装工程投资同比增长8.6%；设备工器具购置投资同比下降44.7%；其他费用投资同比下降15.7%。</w:t>
      </w:r>
      <w:r>
        <w:rPr>
          <w:rFonts w:hint="eastAsia" w:ascii="仿宋_GB2312" w:hAnsi="宋体" w:eastAsia="仿宋_GB2312" w:cs="宋体"/>
          <w:sz w:val="32"/>
          <w:szCs w:val="32"/>
        </w:rPr>
        <w:t>产业投资占比为2.3%。</w:t>
      </w:r>
    </w:p>
    <w:p>
      <w:pPr>
        <w:widowControl/>
        <w:spacing w:line="560" w:lineRule="exact"/>
        <w:ind w:firstLine="640" w:firstLineChars="200"/>
        <w:contextualSpacing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500万元以上固定资产投资（含房地产开发项目），第一产业投资同比下降65.0%；第二产业投资同比下降29.1%，其中制造业同比下降86.0%，电力、煤气及水的生产和供应业投资同比增长91.0%；第三产业投资同比增长5.1%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房地产开发：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投资比上年增长23.84%。按工程用途分，住宅投资同比增长72.26%，商业营业用房同比下降33.03%；房屋施工面积993.54万平方米，上升29.99%，竣工面积7.05万平方米，下降72.94%。商品房屋实际销售额78.07亿元，同比增长23.97%；实际销售面积144.25万平方米，同比上升23.21%，其中住宅销售131.39万平方米，同比上升34.86%；年末待售面积为5.66万平方米，同比下降41.72%。</w:t>
      </w:r>
    </w:p>
    <w:p>
      <w:pPr>
        <w:widowControl/>
        <w:spacing w:line="540" w:lineRule="exact"/>
        <w:ind w:left="0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540" w:lineRule="exact"/>
        <w:ind w:left="0" w:firstLine="643" w:firstLineChars="20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表5　500万元以上固定资产投资按行业分</w:t>
      </w:r>
    </w:p>
    <w:tbl>
      <w:tblPr>
        <w:tblStyle w:val="12"/>
        <w:tblW w:w="7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8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比去年同期增长（%）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一、本年完成投资(或自年初累计完成投资) 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房地产完成投资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其中：基础设施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    产业投资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-78.2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    本年新开工完成投资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-54.0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    国有经济控股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第一产业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第二产业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-29.1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工业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-29.1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制造业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  电力、热力、燃气及水生产和供应业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91.0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第三产业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批发和零售业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-98.5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交通运输、仓储和邮政业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41.0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住宿和餐饮业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51.8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房地产业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科学研究和技术服务业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-79.8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水利、环境和公共设施管理业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-77.7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教育 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-47.2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卫生和社会工作 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 xml:space="preserve">-70.0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文化、体育和娱乐业 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 xml:space="preserve">   公共管理、社会保障和社会组织 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bidi="ar"/>
              </w:rPr>
              <w:t>-41.3</w:t>
            </w:r>
          </w:p>
        </w:tc>
      </w:tr>
    </w:tbl>
    <w:p>
      <w:pPr>
        <w:widowControl/>
        <w:spacing w:line="560" w:lineRule="exact"/>
        <w:ind w:left="0"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widowControl/>
        <w:spacing w:line="560" w:lineRule="exact"/>
        <w:ind w:left="0" w:firstLine="640" w:firstLineChars="200"/>
        <w:rPr>
          <w:rFonts w:ascii="仿宋_GB2312" w:eastAsia="仿宋_GB2312"/>
          <w:sz w:val="36"/>
          <w:szCs w:val="32"/>
        </w:rPr>
      </w:pPr>
      <w:r>
        <w:rPr>
          <w:rFonts w:hint="eastAsia" w:ascii="黑体" w:hAnsi="黑体" w:eastAsia="黑体"/>
          <w:sz w:val="32"/>
          <w:szCs w:val="30"/>
        </w:rPr>
        <w:t>五、国内贸易</w:t>
      </w:r>
    </w:p>
    <w:p>
      <w:pPr>
        <w:widowControl/>
        <w:spacing w:line="240" w:lineRule="auto"/>
        <w:ind w:left="0" w:firstLine="627" w:firstLineChars="196"/>
        <w:jc w:val="left"/>
        <w:rPr>
          <w:rFonts w:ascii="仿宋_GB2312" w:hAnsi="宋体" w:eastAsia="仿宋_GB2312"/>
          <w:b/>
          <w:sz w:val="32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全年社会消费品零售总额达183.14亿元，比上年增长7.8%。分行业看，批发业零售额198.92亿元,增长8.5%,零售业零售额109.09亿元，增长9.0%；住宿业零售额8.52亿元,增长10.3%,餐饮业零售额25.95亿元，增长15.2%。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汽车、石油两大行业分别完成29.51亿元和45.23亿元，同比增速分别为下降3.6%和增长1.2%。</w:t>
      </w:r>
      <w:r>
        <w:drawing>
          <wp:inline distT="0" distB="0" distL="114300" distR="114300">
            <wp:extent cx="5010150" cy="2976880"/>
            <wp:effectExtent l="0" t="0" r="0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六、交通、邮电和旅游</w:t>
      </w:r>
    </w:p>
    <w:p>
      <w:pPr>
        <w:widowControl/>
        <w:spacing w:line="560" w:lineRule="exact"/>
        <w:ind w:left="0" w:firstLine="630" w:firstLineChars="196"/>
        <w:jc w:val="left"/>
        <w:rPr>
          <w:rFonts w:ascii="黑体" w:hAnsi="黑体" w:eastAsia="仿宋_GB2312"/>
          <w:sz w:val="30"/>
          <w:szCs w:val="30"/>
        </w:rPr>
      </w:pPr>
      <w:r>
        <w:rPr>
          <w:rFonts w:hint="eastAsia" w:ascii="楷体_GB2312" w:hAnsi="宋体" w:eastAsia="楷体_GB2312"/>
          <w:b/>
          <w:sz w:val="32"/>
          <w:szCs w:val="30"/>
          <w:lang w:val="zh-CN"/>
        </w:rPr>
        <w:t>交通：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全年交通运输、仓储和邮政业增加值</w:t>
      </w:r>
      <w:r>
        <w:rPr>
          <w:rFonts w:hint="eastAsia" w:ascii="仿宋_GB2312" w:hAnsi="宋体" w:eastAsia="仿宋_GB2312"/>
          <w:sz w:val="32"/>
          <w:szCs w:val="32"/>
        </w:rPr>
        <w:t>13.60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亿元，比上年增长</w:t>
      </w:r>
      <w:r>
        <w:rPr>
          <w:rFonts w:hint="eastAsia" w:ascii="仿宋_GB2312" w:hAnsi="宋体" w:eastAsia="仿宋_GB2312"/>
          <w:sz w:val="32"/>
          <w:szCs w:val="32"/>
        </w:rPr>
        <w:t>6.6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%。</w:t>
      </w:r>
      <w:r>
        <w:rPr>
          <w:rFonts w:hint="eastAsia" w:ascii="仿宋_GB2312" w:eastAsia="仿宋_GB2312"/>
          <w:sz w:val="32"/>
          <w:szCs w:val="32"/>
        </w:rPr>
        <w:t>全市境内公路通车里程1785.3公里，其中高速公路84公里、国道主干线151.9公里、省道118.6公里、县道249.8公里、乡道425.5公里、村道755.5公里</w:t>
      </w:r>
      <w:r>
        <w:rPr>
          <w:rFonts w:hint="eastAsia" w:ascii="仿宋_GB2312" w:hAnsi="宋体" w:eastAsia="仿宋_GB2312"/>
          <w:sz w:val="32"/>
          <w:szCs w:val="32"/>
        </w:rPr>
        <w:t>。全社会公路货运周转量339242万吨公里；旅客周转量105451.28万人公里。货物运输量533万吨，旅客发送量635万人。</w:t>
      </w:r>
    </w:p>
    <w:p>
      <w:pPr>
        <w:spacing w:line="56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邮电：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邮政业务</w:t>
      </w:r>
      <w:r>
        <w:rPr>
          <w:rFonts w:hint="eastAsia" w:ascii="仿宋_GB2312" w:eastAsia="仿宋_GB2312"/>
          <w:sz w:val="32"/>
          <w:szCs w:val="32"/>
        </w:rPr>
        <w:t>总量合计2.07亿元，同比增长6.69%；电信业务总量102.43亿元，同比增长65.9%。</w:t>
      </w:r>
    </w:p>
    <w:p>
      <w:pPr>
        <w:spacing w:line="56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年末固定电话用户5.46万户，同比减少0.25万户，移动电话用户95.09万户，同比增加6.85万户；固定互联网接入宽带用户20.77万户，增加4.44万户。</w:t>
      </w:r>
    </w:p>
    <w:p>
      <w:pPr>
        <w:spacing w:line="56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0"/>
        </w:rPr>
        <w:t>旅游：</w:t>
      </w:r>
      <w:r>
        <w:rPr>
          <w:rFonts w:hint="eastAsia" w:ascii="仿宋_GB2312" w:eastAsia="仿宋_GB2312"/>
          <w:sz w:val="32"/>
          <w:szCs w:val="32"/>
        </w:rPr>
        <w:t>。截止2019年底，凯里市共有4A级旅游景区2个，3A级旅游景区7个，四星级酒店有5家。2019年申报创建南花苗寨、千年岩寨2个3A级旅游景区。全年共接待旅游人数5504.12万人次，同比增长22.39%，实现旅游综合收入619.07亿元，同比增长39.54%。</w:t>
      </w:r>
    </w:p>
    <w:p>
      <w:pPr>
        <w:spacing w:line="560" w:lineRule="exact"/>
        <w:ind w:left="0"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七、财政、金融、保险</w:t>
      </w:r>
    </w:p>
    <w:p>
      <w:pPr>
        <w:widowControl/>
        <w:spacing w:line="560" w:lineRule="exact"/>
        <w:ind w:left="0" w:firstLine="630" w:firstLineChars="196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财政：</w:t>
      </w:r>
      <w:r>
        <w:rPr>
          <w:rFonts w:hint="eastAsia" w:ascii="仿宋_GB2312" w:eastAsia="仿宋_GB2312"/>
          <w:sz w:val="32"/>
          <w:szCs w:val="32"/>
        </w:rPr>
        <w:t>财政总收入完成37.47亿元，同比下降12.4%。其中：公共财政预算收入15.94亿元，下降17.72%，其中税收收入完成12.27亿元，下降10.76%，地方税收占公共财政预算收入的比重为76.98%。非税收收入3.67亿元，同比下降34.73%。公共财政预算支出44.73亿元，同比增长5.3%。其中：一般公共服务支出7.80亿元，同比增长74.56%；教育支出12.13亿元，同比下降2.3%；科学技术支出0.93亿元，同比增长0.59%；社会保障和就业支出3.85亿元，同比增长5.14%；医疗卫生与计划生育支出2.81亿元，同比下降41.34%；节能环保支出0.60亿元，同比增长64.77%；城乡社区事务支出3.14亿元，同比增长42.49%,农林水事务支出1.80亿元，同比下降59.73%。</w:t>
      </w:r>
    </w:p>
    <w:p>
      <w:pPr>
        <w:pStyle w:val="2"/>
        <w:ind w:firstLine="0" w:firstLineChars="0"/>
      </w:pP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spacing w:line="360" w:lineRule="exact"/>
        <w:ind w:left="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表6、财政收支情况</w:t>
      </w:r>
    </w:p>
    <w:tbl>
      <w:tblPr>
        <w:tblStyle w:val="12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220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指标名称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2019年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808080"/>
            <w:vAlign w:val="center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比去年同期增长（%）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一、财政总收入（亿元）</w:t>
            </w:r>
          </w:p>
        </w:tc>
        <w:tc>
          <w:tcPr>
            <w:tcW w:w="22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37.47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（一）公共财政预算收入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15.94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-17.72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1、税收收入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12.27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-10.76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#增值税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4.22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企业所得税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1.22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个人所得税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0.4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-50.49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2、非税收收入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3.67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-34.73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二、公共财政预算支出（亿元）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44.73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210" w:firstLineChars="1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1、 一般公共服务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7.80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2、教育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12.13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3、科学技术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0.93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4、社会保障和就业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3.85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5、医疗卫生与计划生育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2.81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-41.34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6、节能环保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0.6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7、城乡社区事务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3.14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35" w:type="dxa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8、农林水事务</w:t>
            </w:r>
          </w:p>
        </w:tc>
        <w:tc>
          <w:tcPr>
            <w:tcW w:w="2201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1.8</w:t>
            </w:r>
          </w:p>
        </w:tc>
        <w:tc>
          <w:tcPr>
            <w:tcW w:w="2410" w:type="dxa"/>
            <w:tcBorders>
              <w:lef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-59.73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</w:trPr>
        <w:tc>
          <w:tcPr>
            <w:tcW w:w="4335" w:type="dxa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left"/>
              <w:rPr>
                <w:rFonts w:ascii="仿宋_GB2312" w:hAnsi="宋体" w:eastAsia="仿宋_GB2312" w:cs="宋体"/>
                <w:sz w:val="24"/>
                <w:szCs w:val="18"/>
              </w:rPr>
            </w:pPr>
          </w:p>
        </w:tc>
        <w:tc>
          <w:tcPr>
            <w:tcW w:w="22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宋体" w:eastAsia="仿宋_GB2312" w:cs="宋体"/>
                <w:sz w:val="24"/>
                <w:szCs w:val="18"/>
              </w:rPr>
            </w:pP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widowControl/>
              <w:spacing w:line="240" w:lineRule="auto"/>
              <w:ind w:left="0"/>
              <w:jc w:val="center"/>
              <w:rPr>
                <w:rFonts w:ascii="仿宋_GB2312" w:hAnsi="宋体" w:eastAsia="仿宋_GB2312" w:cs="宋体"/>
                <w:sz w:val="24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 w:line="345" w:lineRule="atLeast"/>
        <w:ind w:left="0"/>
        <w:rPr>
          <w:rFonts w:ascii="仿宋_GB2312" w:eastAsia="仿宋_GB2312"/>
          <w:b/>
          <w:sz w:val="32"/>
          <w:szCs w:val="30"/>
        </w:rPr>
      </w:pP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5000625" cy="3275965"/>
            <wp:effectExtent l="0" t="0" r="0" b="635"/>
            <wp:docPr id="4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line="560" w:lineRule="exact"/>
        <w:ind w:left="0" w:firstLine="643" w:firstLineChars="200"/>
        <w:rPr>
          <w:rFonts w:ascii="楷体_GB2312" w:eastAsia="楷体_GB2312"/>
          <w:b/>
          <w:sz w:val="32"/>
          <w:szCs w:val="30"/>
        </w:rPr>
      </w:pPr>
    </w:p>
    <w:p>
      <w:pPr>
        <w:spacing w:line="560" w:lineRule="exact"/>
        <w:ind w:left="0" w:firstLine="643" w:firstLineChars="200"/>
        <w:rPr>
          <w:rFonts w:eastAsia="仿宋_GB2312"/>
          <w:b/>
          <w:sz w:val="32"/>
          <w:szCs w:val="30"/>
          <w:highlight w:val="yellow"/>
        </w:rPr>
      </w:pPr>
      <w:r>
        <w:rPr>
          <w:rFonts w:hint="eastAsia" w:ascii="楷体_GB2312" w:eastAsia="楷体_GB2312"/>
          <w:b/>
          <w:sz w:val="32"/>
          <w:szCs w:val="30"/>
        </w:rPr>
        <w:t>金融：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驻凯里市银行业金融机构共11家（含大型国有商业银行6家、政策性银行1家、农村金融机构2家、城市商业银行2家）。非银行业金融机构9家，其中融资性担保公司3家，小额贷款公司3家，证券公司3家（华创证券、国泰君安证券、方正证券）。</w:t>
      </w:r>
      <w:r>
        <w:rPr>
          <w:rFonts w:ascii="仿宋_GB2312" w:hAnsi="仿宋" w:eastAsia="仿宋_GB2312"/>
          <w:sz w:val="32"/>
          <w:szCs w:val="30"/>
        </w:rPr>
        <w:t>全市金融机构各项存款余额</w:t>
      </w:r>
      <w:r>
        <w:rPr>
          <w:rFonts w:hint="eastAsia" w:ascii="仿宋_GB2312" w:hAnsi="仿宋" w:eastAsia="仿宋_GB2312"/>
          <w:sz w:val="32"/>
          <w:szCs w:val="30"/>
        </w:rPr>
        <w:t>465.92</w:t>
      </w:r>
      <w:r>
        <w:rPr>
          <w:rFonts w:ascii="仿宋_GB2312" w:hAnsi="仿宋" w:eastAsia="仿宋_GB2312"/>
          <w:sz w:val="32"/>
          <w:szCs w:val="30"/>
        </w:rPr>
        <w:t>亿元，同比下降</w:t>
      </w:r>
      <w:r>
        <w:rPr>
          <w:rFonts w:hint="eastAsia" w:ascii="仿宋_GB2312" w:hAnsi="仿宋" w:eastAsia="仿宋_GB2312"/>
          <w:sz w:val="32"/>
          <w:szCs w:val="30"/>
        </w:rPr>
        <w:t>1.19</w:t>
      </w:r>
      <w:r>
        <w:rPr>
          <w:rFonts w:ascii="仿宋_GB2312" w:hAnsi="仿宋" w:eastAsia="仿宋_GB2312"/>
          <w:sz w:val="32"/>
          <w:szCs w:val="30"/>
        </w:rPr>
        <w:t>%,减少</w:t>
      </w:r>
      <w:r>
        <w:rPr>
          <w:rFonts w:hint="eastAsia" w:ascii="仿宋_GB2312" w:hAnsi="仿宋" w:eastAsia="仿宋_GB2312"/>
          <w:sz w:val="32"/>
          <w:szCs w:val="30"/>
        </w:rPr>
        <w:t>5.63</w:t>
      </w:r>
      <w:r>
        <w:rPr>
          <w:rFonts w:ascii="仿宋_GB2312" w:hAnsi="仿宋" w:eastAsia="仿宋_GB2312"/>
          <w:sz w:val="32"/>
          <w:szCs w:val="30"/>
        </w:rPr>
        <w:t>亿元</w:t>
      </w:r>
      <w:r>
        <w:rPr>
          <w:rFonts w:hint="eastAsia" w:ascii="仿宋_GB2312" w:hAnsi="仿宋" w:eastAsia="仿宋_GB2312"/>
          <w:sz w:val="32"/>
          <w:szCs w:val="30"/>
        </w:rPr>
        <w:t>。</w:t>
      </w:r>
      <w:r>
        <w:rPr>
          <w:rFonts w:ascii="仿宋_GB2312" w:hAnsi="仿宋" w:eastAsia="仿宋_GB2312"/>
          <w:sz w:val="32"/>
          <w:szCs w:val="30"/>
        </w:rPr>
        <w:t>银行业金融机构贷款余额</w:t>
      </w:r>
      <w:r>
        <w:rPr>
          <w:rFonts w:hint="eastAsia" w:ascii="仿宋_GB2312" w:hAnsi="仿宋" w:eastAsia="仿宋_GB2312"/>
          <w:sz w:val="32"/>
          <w:szCs w:val="30"/>
        </w:rPr>
        <w:t>490.08</w:t>
      </w:r>
      <w:r>
        <w:rPr>
          <w:rFonts w:ascii="仿宋_GB2312" w:hAnsi="仿宋" w:eastAsia="仿宋_GB2312"/>
          <w:sz w:val="32"/>
          <w:szCs w:val="30"/>
        </w:rPr>
        <w:t>亿元，同比增长1</w:t>
      </w:r>
      <w:r>
        <w:rPr>
          <w:rFonts w:hint="eastAsia" w:ascii="仿宋_GB2312" w:hAnsi="仿宋" w:eastAsia="仿宋_GB2312"/>
          <w:sz w:val="32"/>
          <w:szCs w:val="30"/>
        </w:rPr>
        <w:t>5.67</w:t>
      </w:r>
      <w:r>
        <w:rPr>
          <w:rFonts w:ascii="仿宋_GB2312" w:hAnsi="仿宋" w:eastAsia="仿宋_GB2312"/>
          <w:sz w:val="32"/>
          <w:szCs w:val="30"/>
        </w:rPr>
        <w:t>%，增加</w:t>
      </w:r>
      <w:r>
        <w:rPr>
          <w:rFonts w:hint="eastAsia" w:ascii="仿宋_GB2312" w:hAnsi="仿宋" w:eastAsia="仿宋_GB2312"/>
          <w:sz w:val="32"/>
          <w:szCs w:val="30"/>
        </w:rPr>
        <w:t>16.37</w:t>
      </w:r>
      <w:r>
        <w:rPr>
          <w:rFonts w:ascii="仿宋_GB2312" w:hAnsi="仿宋" w:eastAsia="仿宋_GB2312"/>
          <w:sz w:val="32"/>
          <w:szCs w:val="30"/>
        </w:rPr>
        <w:t>亿元。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保险</w:t>
      </w:r>
      <w:r>
        <w:rPr>
          <w:rFonts w:hint="eastAsia" w:ascii="楷体_GB2312" w:eastAsia="楷体_GB2312"/>
          <w:sz w:val="32"/>
          <w:szCs w:val="30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驻凯里市保险业金融机构19家。其中财险公司11家，寿险公司8家。</w:t>
      </w:r>
      <w:r>
        <w:rPr>
          <w:rFonts w:hint="eastAsia" w:ascii="仿宋_GB2312" w:eastAsia="仿宋_GB2312"/>
          <w:sz w:val="32"/>
          <w:szCs w:val="30"/>
        </w:rPr>
        <w:t>全年保险业实现保费收入19.22亿元，比上年增长7.39%。其中，财产险保费收入10.77亿元，增长13.59%；人身险保费收入8.45亿元，增长1.62%。各项赔款和给付6.15亿元，增长14.96%。其中财产险理赔支出5.81亿元，增长14.11%。人身险各项赔款给付支出0.34亿元，增长29.41%。</w:t>
      </w:r>
    </w:p>
    <w:p>
      <w:pPr>
        <w:widowControl/>
        <w:spacing w:line="560" w:lineRule="exact"/>
        <w:ind w:left="0" w:firstLine="636" w:firstLineChars="19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八、社会事业 </w:t>
      </w:r>
    </w:p>
    <w:p>
      <w:pPr>
        <w:spacing w:line="560" w:lineRule="exact"/>
        <w:ind w:left="0"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0"/>
        </w:rPr>
        <w:t>教育：</w:t>
      </w:r>
      <w:r>
        <w:rPr>
          <w:rFonts w:hint="eastAsia" w:ascii="仿宋_GB2312" w:eastAsia="仿宋_GB2312"/>
          <w:sz w:val="32"/>
          <w:szCs w:val="32"/>
        </w:rPr>
        <w:t>高等学校3所，在校生37809人；中等职业技术学校9所，在校生15941人；普通高中12所，在校生24564人；初级中学28所，在校生28770人；小学77所（不含教学点），在校生63126人；幼儿园246所，在园幼儿27565人。学前三年毛入园率113.8%，九年义务教育巩固率121.4%，高中阶段毛入学率124.1%。</w:t>
      </w:r>
    </w:p>
    <w:p>
      <w:pPr>
        <w:shd w:val="clear" w:color="auto" w:fill="FFFFFF"/>
        <w:spacing w:line="560" w:lineRule="exact"/>
        <w:ind w:firstLine="630" w:firstLineChars="196"/>
        <w:rPr>
          <w:rFonts w:ascii="仿宋_GB2312" w:eastAsia="仿宋_GB2312"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科技：</w:t>
      </w:r>
      <w:r>
        <w:rPr>
          <w:rFonts w:hint="eastAsia" w:ascii="仿宋_GB2312" w:eastAsia="仿宋_GB2312"/>
          <w:sz w:val="32"/>
          <w:szCs w:val="30"/>
        </w:rPr>
        <w:t>综合科技进步水平指数为85.7%。全</w:t>
      </w:r>
      <w:r>
        <w:rPr>
          <w:rFonts w:ascii="仿宋_GB2312" w:eastAsia="仿宋_GB2312"/>
          <w:sz w:val="32"/>
          <w:szCs w:val="30"/>
        </w:rPr>
        <w:t>市科技经费预算投入</w:t>
      </w:r>
      <w:r>
        <w:rPr>
          <w:rFonts w:hint="eastAsia" w:ascii="仿宋_GB2312" w:eastAsia="仿宋_GB2312"/>
          <w:sz w:val="32"/>
          <w:szCs w:val="30"/>
        </w:rPr>
        <w:t>9284万元</w:t>
      </w:r>
      <w:r>
        <w:rPr>
          <w:rFonts w:ascii="仿宋_GB2312" w:eastAsia="仿宋_GB2312"/>
          <w:sz w:val="32"/>
          <w:szCs w:val="30"/>
        </w:rPr>
        <w:t>，占本级公共财政支出比例2.</w:t>
      </w:r>
      <w:r>
        <w:rPr>
          <w:rFonts w:hint="eastAsia" w:ascii="仿宋_GB2312" w:eastAsia="仿宋_GB2312"/>
          <w:sz w:val="32"/>
          <w:szCs w:val="30"/>
        </w:rPr>
        <w:t>6</w:t>
      </w:r>
      <w:r>
        <w:rPr>
          <w:rFonts w:ascii="仿宋_GB2312" w:eastAsia="仿宋_GB2312"/>
          <w:sz w:val="32"/>
          <w:szCs w:val="30"/>
        </w:rPr>
        <w:t>%，获省级科技计划立项</w:t>
      </w:r>
      <w:r>
        <w:rPr>
          <w:rFonts w:hint="eastAsia" w:ascii="仿宋_GB2312" w:eastAsia="仿宋_GB2312"/>
          <w:sz w:val="32"/>
          <w:szCs w:val="30"/>
        </w:rPr>
        <w:t>14</w:t>
      </w:r>
      <w:r>
        <w:rPr>
          <w:rFonts w:ascii="仿宋_GB2312" w:eastAsia="仿宋_GB2312"/>
          <w:sz w:val="32"/>
          <w:szCs w:val="30"/>
        </w:rPr>
        <w:t>项，资金</w:t>
      </w:r>
      <w:r>
        <w:rPr>
          <w:rFonts w:hint="eastAsia" w:ascii="仿宋_GB2312" w:eastAsia="仿宋_GB2312"/>
          <w:sz w:val="32"/>
          <w:szCs w:val="30"/>
        </w:rPr>
        <w:t>678</w:t>
      </w:r>
      <w:r>
        <w:rPr>
          <w:rFonts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</w:rPr>
        <w:t>。</w:t>
      </w:r>
      <w:r>
        <w:rPr>
          <w:rFonts w:ascii="仿宋_GB2312" w:eastAsia="仿宋_GB2312"/>
          <w:sz w:val="32"/>
          <w:szCs w:val="30"/>
        </w:rPr>
        <w:t>辖区拥有院士工作站1个，省级科技创新人才团队</w:t>
      </w:r>
      <w:r>
        <w:rPr>
          <w:rFonts w:hint="eastAsia" w:ascii="仿宋_GB2312" w:eastAsia="仿宋_GB2312"/>
          <w:sz w:val="32"/>
          <w:szCs w:val="30"/>
        </w:rPr>
        <w:t>6</w:t>
      </w:r>
      <w:r>
        <w:rPr>
          <w:rFonts w:ascii="仿宋_GB2312" w:eastAsia="仿宋_GB2312"/>
          <w:sz w:val="32"/>
          <w:szCs w:val="30"/>
        </w:rPr>
        <w:t>个，州级科技特派员</w:t>
      </w:r>
      <w:r>
        <w:rPr>
          <w:rFonts w:hint="eastAsia" w:ascii="仿宋_GB2312" w:eastAsia="仿宋_GB2312"/>
          <w:sz w:val="32"/>
          <w:szCs w:val="30"/>
        </w:rPr>
        <w:t>8</w:t>
      </w:r>
      <w:r>
        <w:rPr>
          <w:rFonts w:ascii="仿宋_GB2312" w:eastAsia="仿宋_GB2312"/>
          <w:sz w:val="32"/>
          <w:szCs w:val="30"/>
        </w:rPr>
        <w:t>人。建立凯里市科技专家咨询库1个</w:t>
      </w:r>
      <w:r>
        <w:rPr>
          <w:rFonts w:hint="eastAsia" w:ascii="仿宋_GB2312" w:eastAsia="仿宋_GB2312"/>
          <w:sz w:val="32"/>
          <w:szCs w:val="30"/>
        </w:rPr>
        <w:t>共97人</w:t>
      </w:r>
      <w:r>
        <w:rPr>
          <w:rFonts w:ascii="仿宋_GB2312" w:eastAsia="仿宋_GB2312"/>
          <w:sz w:val="32"/>
          <w:szCs w:val="30"/>
        </w:rPr>
        <w:t>。辖区专利申请</w:t>
      </w:r>
      <w:r>
        <w:rPr>
          <w:rFonts w:hint="eastAsia" w:ascii="仿宋_GB2312" w:eastAsia="仿宋_GB2312"/>
          <w:sz w:val="32"/>
          <w:szCs w:val="30"/>
        </w:rPr>
        <w:t>1453</w:t>
      </w:r>
      <w:r>
        <w:rPr>
          <w:rFonts w:ascii="仿宋_GB2312" w:eastAsia="仿宋_GB2312"/>
          <w:sz w:val="32"/>
          <w:szCs w:val="30"/>
        </w:rPr>
        <w:t>件，与去年同比</w:t>
      </w:r>
      <w:r>
        <w:rPr>
          <w:rFonts w:hint="eastAsia" w:ascii="仿宋_GB2312" w:eastAsia="仿宋_GB2312"/>
          <w:sz w:val="32"/>
          <w:szCs w:val="30"/>
        </w:rPr>
        <w:t>增长51.9</w:t>
      </w:r>
      <w:r>
        <w:rPr>
          <w:rFonts w:ascii="仿宋_GB2312" w:eastAsia="仿宋_GB2312"/>
          <w:sz w:val="32"/>
          <w:szCs w:val="30"/>
        </w:rPr>
        <w:t>%。其中：发明专利</w:t>
      </w:r>
      <w:r>
        <w:rPr>
          <w:rFonts w:hint="eastAsia" w:ascii="仿宋_GB2312" w:eastAsia="仿宋_GB2312"/>
          <w:sz w:val="32"/>
          <w:szCs w:val="30"/>
        </w:rPr>
        <w:t>117</w:t>
      </w:r>
      <w:r>
        <w:rPr>
          <w:rFonts w:ascii="仿宋_GB2312" w:eastAsia="仿宋_GB2312"/>
          <w:sz w:val="32"/>
          <w:szCs w:val="30"/>
        </w:rPr>
        <w:t>件，实用新型</w:t>
      </w:r>
      <w:r>
        <w:rPr>
          <w:rFonts w:hint="eastAsia" w:ascii="仿宋_GB2312" w:eastAsia="仿宋_GB2312"/>
          <w:sz w:val="32"/>
          <w:szCs w:val="30"/>
        </w:rPr>
        <w:t>专利1171</w:t>
      </w:r>
      <w:r>
        <w:rPr>
          <w:rFonts w:ascii="仿宋_GB2312" w:eastAsia="仿宋_GB2312"/>
          <w:sz w:val="32"/>
          <w:szCs w:val="30"/>
        </w:rPr>
        <w:t>件，外观设计</w:t>
      </w:r>
      <w:r>
        <w:rPr>
          <w:rFonts w:hint="eastAsia" w:ascii="仿宋_GB2312" w:eastAsia="仿宋_GB2312"/>
          <w:sz w:val="32"/>
          <w:szCs w:val="30"/>
        </w:rPr>
        <w:t>专利165</w:t>
      </w:r>
      <w:r>
        <w:rPr>
          <w:rFonts w:ascii="仿宋_GB2312" w:eastAsia="仿宋_GB2312"/>
          <w:sz w:val="32"/>
          <w:szCs w:val="30"/>
        </w:rPr>
        <w:t>件；专利授权</w:t>
      </w:r>
      <w:r>
        <w:rPr>
          <w:rFonts w:hint="eastAsia" w:ascii="仿宋_GB2312" w:eastAsia="仿宋_GB2312"/>
          <w:sz w:val="32"/>
          <w:szCs w:val="30"/>
        </w:rPr>
        <w:t>842</w:t>
      </w:r>
      <w:r>
        <w:rPr>
          <w:rFonts w:ascii="仿宋_GB2312" w:eastAsia="仿宋_GB2312"/>
          <w:sz w:val="32"/>
          <w:szCs w:val="30"/>
        </w:rPr>
        <w:t>件，同比增长</w:t>
      </w:r>
      <w:r>
        <w:rPr>
          <w:rFonts w:hint="eastAsia" w:ascii="仿宋_GB2312" w:eastAsia="仿宋_GB2312"/>
          <w:sz w:val="32"/>
          <w:szCs w:val="30"/>
        </w:rPr>
        <w:t>51.4</w:t>
      </w:r>
      <w:r>
        <w:rPr>
          <w:rFonts w:ascii="仿宋_GB2312" w:eastAsia="仿宋_GB2312"/>
          <w:sz w:val="32"/>
          <w:szCs w:val="30"/>
        </w:rPr>
        <w:t>%。其中，发明专利2</w:t>
      </w:r>
      <w:r>
        <w:rPr>
          <w:rFonts w:hint="eastAsia" w:ascii="仿宋_GB2312" w:eastAsia="仿宋_GB2312"/>
          <w:sz w:val="32"/>
          <w:szCs w:val="30"/>
        </w:rPr>
        <w:t>8</w:t>
      </w:r>
      <w:r>
        <w:rPr>
          <w:rFonts w:ascii="仿宋_GB2312" w:eastAsia="仿宋_GB2312"/>
          <w:sz w:val="32"/>
          <w:szCs w:val="30"/>
        </w:rPr>
        <w:t>件，实用新型</w:t>
      </w:r>
      <w:r>
        <w:rPr>
          <w:rFonts w:hint="eastAsia" w:ascii="仿宋_GB2312" w:eastAsia="仿宋_GB2312"/>
          <w:sz w:val="32"/>
          <w:szCs w:val="30"/>
        </w:rPr>
        <w:t>663</w:t>
      </w:r>
      <w:r>
        <w:rPr>
          <w:rFonts w:ascii="仿宋_GB2312" w:eastAsia="仿宋_GB2312"/>
          <w:sz w:val="32"/>
          <w:szCs w:val="30"/>
        </w:rPr>
        <w:t>件，外观设计</w:t>
      </w:r>
      <w:r>
        <w:rPr>
          <w:rFonts w:hint="eastAsia" w:ascii="仿宋_GB2312" w:eastAsia="仿宋_GB2312"/>
          <w:sz w:val="32"/>
          <w:szCs w:val="30"/>
        </w:rPr>
        <w:t>151</w:t>
      </w:r>
      <w:r>
        <w:rPr>
          <w:rFonts w:ascii="仿宋_GB2312" w:eastAsia="仿宋_GB2312"/>
          <w:sz w:val="32"/>
          <w:szCs w:val="30"/>
        </w:rPr>
        <w:t>件。有效专利数量</w:t>
      </w:r>
      <w:r>
        <w:rPr>
          <w:rFonts w:hint="eastAsia" w:ascii="仿宋_GB2312" w:eastAsia="仿宋_GB2312"/>
          <w:sz w:val="32"/>
          <w:szCs w:val="30"/>
        </w:rPr>
        <w:t>达138</w:t>
      </w:r>
      <w:r>
        <w:rPr>
          <w:rFonts w:ascii="仿宋_GB2312" w:eastAsia="仿宋_GB2312"/>
          <w:sz w:val="32"/>
          <w:szCs w:val="30"/>
        </w:rPr>
        <w:t>件，</w:t>
      </w:r>
      <w:r>
        <w:rPr>
          <w:rFonts w:hint="eastAsia" w:ascii="仿宋_GB2312" w:eastAsia="仿宋_GB2312"/>
          <w:sz w:val="32"/>
          <w:szCs w:val="30"/>
        </w:rPr>
        <w:t>预计</w:t>
      </w:r>
      <w:r>
        <w:rPr>
          <w:rFonts w:ascii="仿宋_GB2312" w:eastAsia="仿宋_GB2312"/>
          <w:sz w:val="32"/>
          <w:szCs w:val="30"/>
        </w:rPr>
        <w:t>每万人发明专利拥有量</w:t>
      </w:r>
      <w:r>
        <w:rPr>
          <w:rFonts w:hint="eastAsia" w:ascii="仿宋_GB2312" w:eastAsia="仿宋_GB2312"/>
          <w:sz w:val="32"/>
          <w:szCs w:val="30"/>
        </w:rPr>
        <w:t>2.52</w:t>
      </w:r>
      <w:r>
        <w:rPr>
          <w:rFonts w:ascii="仿宋_GB2312" w:eastAsia="仿宋_GB2312"/>
          <w:sz w:val="32"/>
          <w:szCs w:val="30"/>
        </w:rPr>
        <w:t xml:space="preserve">件。 </w:t>
      </w:r>
    </w:p>
    <w:p>
      <w:pPr>
        <w:shd w:val="clear" w:color="auto" w:fill="FFFFFF"/>
        <w:spacing w:line="560" w:lineRule="exact"/>
        <w:ind w:firstLine="630" w:firstLineChars="196"/>
        <w:rPr>
          <w:sz w:val="21"/>
        </w:rPr>
      </w:pPr>
      <w:r>
        <w:rPr>
          <w:rFonts w:hint="eastAsia" w:ascii="楷体_GB2312" w:eastAsia="楷体_GB2312"/>
          <w:b/>
          <w:sz w:val="32"/>
          <w:szCs w:val="30"/>
        </w:rPr>
        <w:t>文化：</w:t>
      </w:r>
      <w:r>
        <w:rPr>
          <w:rFonts w:hint="eastAsia" w:ascii="仿宋_GB2312" w:eastAsia="仿宋_GB2312"/>
          <w:bCs/>
          <w:sz w:val="32"/>
          <w:szCs w:val="30"/>
        </w:rPr>
        <w:t>年末全市拥有文化馆2个，图书馆2个，公共图书馆图书总藏量36万册，农家书屋181个，藏书量42万册。博物馆1个，剧场、影剧院5个，体育场馆数12个（含学校）。全市有线电视用户185897户，其中城区100643户，乡镇85254户；有效电视用户数104544户，其中城区48883户，乡镇55661户。电视综合覆盖率99.3%（包含所有乡镇），广播综合覆盖率100%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卫生：</w:t>
      </w:r>
      <w:r>
        <w:rPr>
          <w:rFonts w:hint="eastAsia" w:ascii="仿宋_GB2312" w:eastAsia="仿宋_GB2312"/>
          <w:sz w:val="32"/>
          <w:szCs w:val="30"/>
        </w:rPr>
        <w:t>年末凯里市辖区内拥有医疗卫生机构570个，其中州级审批监管的30个，市级审批监管540 个。州级监管公立医院5个，疾病预防控制机构1个，卫生监督局1个，采供血站1 个，民营医院17个，医疗整形美容诊所3个，综合门诊部2个。市级监管公立医院3个，疾病预防控制机构1个，卫生监督局1个，监狱医院2个，乡镇卫生院11个，街道社区卫生服务中心7个，政府办社区卫生服务站7个，民营医院14个，个体诊所、门诊部、社会办卫生服务站215个，医务室、卫生站76个，村卫生室203个。拥有编制病床位5321张，实际开放床位7156张；卫生技术人员7624人，其中执业（助理）医师2354 人，注册执业护士3593人。</w:t>
      </w:r>
    </w:p>
    <w:p>
      <w:pPr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九、人口、人民生活和社会保障</w:t>
      </w:r>
    </w:p>
    <w:p>
      <w:pPr>
        <w:spacing w:line="560" w:lineRule="exact"/>
        <w:ind w:firstLine="630"/>
        <w:rPr>
          <w:rFonts w:ascii="仿宋_GB2312" w:hAnsi="仿宋" w:eastAsia="仿宋_GB2312"/>
          <w:b/>
          <w:sz w:val="32"/>
          <w:szCs w:val="30"/>
        </w:rPr>
      </w:pPr>
      <w:r>
        <w:rPr>
          <w:rFonts w:hint="eastAsia" w:ascii="楷体_GB2312" w:hAnsi="黑体" w:eastAsia="楷体_GB2312"/>
          <w:b/>
          <w:sz w:val="32"/>
          <w:szCs w:val="30"/>
        </w:rPr>
        <w:t>人口：</w:t>
      </w:r>
      <w:r>
        <w:rPr>
          <w:rFonts w:hint="eastAsia" w:ascii="仿宋_GB2312" w:hAnsi="仿宋" w:eastAsia="仿宋_GB2312"/>
          <w:sz w:val="32"/>
          <w:szCs w:val="30"/>
        </w:rPr>
        <w:t>年末常住人口为</w:t>
      </w:r>
      <w:r>
        <w:rPr>
          <w:rFonts w:ascii="仿宋_GB2312" w:hAnsi="仿宋" w:eastAsia="仿宋_GB2312"/>
          <w:sz w:val="32"/>
          <w:szCs w:val="30"/>
        </w:rPr>
        <w:t>54.</w:t>
      </w:r>
      <w:r>
        <w:rPr>
          <w:rFonts w:hint="eastAsia" w:ascii="仿宋_GB2312" w:hAnsi="仿宋" w:eastAsia="仿宋_GB2312"/>
          <w:sz w:val="32"/>
          <w:szCs w:val="30"/>
        </w:rPr>
        <w:t>89</w:t>
      </w:r>
      <w:r>
        <w:rPr>
          <w:rFonts w:ascii="仿宋_GB2312" w:hAnsi="仿宋" w:eastAsia="仿宋_GB2312"/>
          <w:sz w:val="32"/>
          <w:szCs w:val="30"/>
        </w:rPr>
        <w:t>万人，</w:t>
      </w:r>
      <w:r>
        <w:rPr>
          <w:rFonts w:hint="eastAsia" w:ascii="仿宋_GB2312" w:hAnsi="仿宋" w:eastAsia="仿宋_GB2312"/>
          <w:sz w:val="32"/>
          <w:szCs w:val="30"/>
        </w:rPr>
        <w:t>户籍人口57.89</w:t>
      </w:r>
      <w:r>
        <w:rPr>
          <w:rFonts w:ascii="仿宋_GB2312" w:hAnsi="仿宋" w:eastAsia="仿宋_GB2312"/>
          <w:sz w:val="32"/>
          <w:szCs w:val="30"/>
        </w:rPr>
        <w:t>万人</w:t>
      </w:r>
      <w:r>
        <w:rPr>
          <w:rFonts w:hint="eastAsia" w:ascii="仿宋_GB2312" w:hAnsi="仿宋" w:eastAsia="仿宋_GB2312"/>
          <w:sz w:val="32"/>
          <w:szCs w:val="30"/>
        </w:rPr>
        <w:t>。人口出生率为14.61</w:t>
      </w:r>
      <w:r>
        <w:rPr>
          <w:rFonts w:ascii="仿宋_GB2312" w:hAnsi="仿宋" w:eastAsia="仿宋_GB2312"/>
          <w:sz w:val="32"/>
          <w:szCs w:val="30"/>
        </w:rPr>
        <w:t>‰，</w:t>
      </w:r>
      <w:r>
        <w:rPr>
          <w:rFonts w:hint="eastAsia" w:ascii="仿宋_GB2312" w:hAnsi="仿宋" w:eastAsia="仿宋_GB2312"/>
          <w:sz w:val="32"/>
          <w:szCs w:val="30"/>
        </w:rPr>
        <w:t>同比上升0.82</w:t>
      </w:r>
      <w:r>
        <w:rPr>
          <w:rFonts w:ascii="仿宋_GB2312" w:hAnsi="仿宋" w:eastAsia="仿宋_GB2312"/>
          <w:sz w:val="32"/>
          <w:szCs w:val="30"/>
        </w:rPr>
        <w:t>个千分点；</w:t>
      </w:r>
      <w:r>
        <w:rPr>
          <w:rFonts w:hint="eastAsia" w:ascii="仿宋_GB2312" w:hAnsi="仿宋" w:eastAsia="仿宋_GB2312"/>
          <w:sz w:val="32"/>
          <w:szCs w:val="30"/>
        </w:rPr>
        <w:t>死亡率为5.23</w:t>
      </w:r>
      <w:r>
        <w:rPr>
          <w:rFonts w:ascii="仿宋_GB2312" w:hAnsi="仿宋" w:eastAsia="仿宋_GB2312"/>
          <w:sz w:val="32"/>
          <w:szCs w:val="30"/>
        </w:rPr>
        <w:t>‰，</w:t>
      </w:r>
      <w:r>
        <w:rPr>
          <w:rFonts w:hint="eastAsia" w:ascii="仿宋_GB2312" w:hAnsi="仿宋" w:eastAsia="仿宋_GB2312"/>
          <w:sz w:val="32"/>
          <w:szCs w:val="30"/>
        </w:rPr>
        <w:t>同比下降0.01个千分点；人口自然增长率为9.38</w:t>
      </w:r>
      <w:r>
        <w:rPr>
          <w:rFonts w:ascii="仿宋_GB2312" w:hAnsi="仿宋" w:eastAsia="仿宋_GB2312"/>
          <w:sz w:val="32"/>
          <w:szCs w:val="30"/>
        </w:rPr>
        <w:t>‰，</w:t>
      </w:r>
      <w:r>
        <w:rPr>
          <w:rFonts w:hint="eastAsia" w:ascii="仿宋_GB2312" w:hAnsi="仿宋" w:eastAsia="仿宋_GB2312"/>
          <w:sz w:val="32"/>
          <w:szCs w:val="30"/>
        </w:rPr>
        <w:t>同比上升0.83个千分点。</w:t>
      </w:r>
    </w:p>
    <w:p>
      <w:pPr>
        <w:spacing w:line="5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0"/>
        </w:rPr>
        <w:t>人民生活：</w:t>
      </w:r>
      <w:r>
        <w:rPr>
          <w:rFonts w:ascii="仿宋_GB2312" w:hAnsi="仿宋_GB2312" w:eastAsia="仿宋_GB2312"/>
          <w:bCs/>
          <w:sz w:val="32"/>
          <w:szCs w:val="30"/>
        </w:rPr>
        <w:t>201</w:t>
      </w:r>
      <w:r>
        <w:rPr>
          <w:rFonts w:hint="eastAsia" w:ascii="仿宋_GB2312" w:hAnsi="仿宋_GB2312" w:eastAsia="仿宋_GB2312"/>
          <w:bCs/>
          <w:sz w:val="32"/>
          <w:szCs w:val="30"/>
        </w:rPr>
        <w:t>9</w:t>
      </w:r>
      <w:r>
        <w:rPr>
          <w:rFonts w:ascii="仿宋_GB2312" w:hAnsi="仿宋_GB2312" w:eastAsia="仿宋_GB2312"/>
          <w:bCs/>
          <w:sz w:val="32"/>
          <w:szCs w:val="30"/>
        </w:rPr>
        <w:t>年</w:t>
      </w:r>
      <w:r>
        <w:rPr>
          <w:rFonts w:hint="eastAsia" w:ascii="仿宋_GB2312" w:hAnsi="仿宋_GB2312" w:eastAsia="仿宋_GB2312"/>
          <w:sz w:val="32"/>
          <w:szCs w:val="30"/>
        </w:rPr>
        <w:t>全市城镇居民人均可支配收入34845</w:t>
      </w:r>
      <w:r>
        <w:rPr>
          <w:rFonts w:ascii="仿宋_GB2312" w:hAnsi="仿宋_GB2312" w:eastAsia="仿宋_GB2312"/>
          <w:sz w:val="32"/>
          <w:szCs w:val="30"/>
        </w:rPr>
        <w:t>元，农村居民人均可支配收入</w:t>
      </w:r>
      <w:r>
        <w:rPr>
          <w:rFonts w:hint="eastAsia" w:ascii="仿宋_GB2312" w:hAnsi="仿宋_GB2312" w:eastAsia="仿宋_GB2312"/>
          <w:sz w:val="32"/>
          <w:szCs w:val="30"/>
        </w:rPr>
        <w:t>13158</w:t>
      </w:r>
      <w:r>
        <w:rPr>
          <w:rFonts w:ascii="仿宋_GB2312" w:hAnsi="仿宋_GB2312" w:eastAsia="仿宋_GB2312"/>
          <w:sz w:val="32"/>
          <w:szCs w:val="30"/>
        </w:rPr>
        <w:t>元，分别增长</w:t>
      </w:r>
      <w:r>
        <w:rPr>
          <w:rFonts w:hint="eastAsia" w:ascii="仿宋_GB2312" w:hAnsi="仿宋_GB2312" w:eastAsia="仿宋_GB2312"/>
          <w:sz w:val="32"/>
          <w:szCs w:val="30"/>
        </w:rPr>
        <w:t>8.8</w:t>
      </w:r>
      <w:r>
        <w:rPr>
          <w:rFonts w:ascii="仿宋_GB2312" w:hAnsi="仿宋_GB2312" w:eastAsia="仿宋_GB2312"/>
          <w:sz w:val="32"/>
          <w:szCs w:val="30"/>
        </w:rPr>
        <w:t>%、10.</w:t>
      </w:r>
      <w:r>
        <w:rPr>
          <w:rFonts w:hint="eastAsia" w:ascii="仿宋_GB2312" w:hAnsi="仿宋_GB2312" w:eastAsia="仿宋_GB2312"/>
          <w:sz w:val="32"/>
          <w:szCs w:val="30"/>
        </w:rPr>
        <w:t>9</w:t>
      </w:r>
      <w:r>
        <w:rPr>
          <w:rFonts w:ascii="仿宋_GB2312" w:hAnsi="仿宋_GB2312" w:eastAsia="仿宋_GB2312"/>
          <w:sz w:val="32"/>
          <w:szCs w:val="30"/>
        </w:rPr>
        <w:t>%。</w:t>
      </w:r>
    </w:p>
    <w:p>
      <w:pPr>
        <w:pStyle w:val="2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>
      <w:pPr>
        <w:pStyle w:val="2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drawing>
          <wp:inline distT="0" distB="0" distL="114300" distR="114300">
            <wp:extent cx="4763135" cy="2943860"/>
            <wp:effectExtent l="0" t="0" r="0" b="8890"/>
            <wp:docPr id="1" name="图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360" w:lineRule="auto"/>
        <w:ind w:left="0"/>
        <w:jc w:val="center"/>
      </w:pPr>
    </w:p>
    <w:p>
      <w:pPr>
        <w:spacing w:before="156" w:beforeLines="50" w:after="156" w:afterLines="50"/>
        <w:ind w:left="0"/>
      </w:pPr>
      <w:r>
        <w:rPr>
          <w:rFonts w:hint="eastAsia" w:ascii="宋体" w:hAnsi="宋体"/>
          <w:sz w:val="32"/>
          <w:szCs w:val="32"/>
        </w:rPr>
        <w:t xml:space="preserve">      </w:t>
      </w:r>
      <w:r>
        <w:drawing>
          <wp:inline distT="0" distB="0" distL="114300" distR="114300">
            <wp:extent cx="4697095" cy="2922905"/>
            <wp:effectExtent l="0" t="0" r="8255" b="10795"/>
            <wp:docPr id="2" name="图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left="1600" w:leftChars="800"/>
        <w:rPr>
          <w:rFonts w:ascii="仿宋_GB2312" w:hAnsi="宋体" w:eastAsia="仿宋_GB2312"/>
          <w:sz w:val="32"/>
          <w:szCs w:val="32"/>
        </w:rPr>
      </w:pPr>
    </w:p>
    <w:p>
      <w:pPr>
        <w:ind w:left="1600" w:leftChars="8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0"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0"/>
        </w:rPr>
        <w:t>社会保障</w:t>
      </w:r>
      <w:r>
        <w:rPr>
          <w:rFonts w:hint="eastAsia" w:ascii="楷体_GB2312" w:hAnsi="宋体" w:eastAsia="楷体_GB2312"/>
          <w:sz w:val="32"/>
          <w:szCs w:val="30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年末全市参加基本养老保险（含职工、居民）人数为258021人，比上年增长2.59%。参加失业保险的人数为31148</w:t>
      </w:r>
      <w:r>
        <w:rPr>
          <w:rFonts w:ascii="仿宋_GB2312" w:hAnsi="宋体" w:eastAsia="仿宋_GB2312"/>
          <w:sz w:val="32"/>
          <w:szCs w:val="32"/>
        </w:rPr>
        <w:t>人，比上年增长</w:t>
      </w:r>
      <w:r>
        <w:rPr>
          <w:rFonts w:hint="eastAsia" w:ascii="仿宋_GB2312" w:hAnsi="宋体" w:eastAsia="仿宋_GB2312"/>
          <w:sz w:val="32"/>
          <w:szCs w:val="32"/>
        </w:rPr>
        <w:t>8.94</w:t>
      </w:r>
      <w:r>
        <w:rPr>
          <w:rFonts w:ascii="仿宋_GB2312" w:hAnsi="宋体" w:eastAsia="仿宋_GB2312"/>
          <w:sz w:val="32"/>
          <w:szCs w:val="32"/>
        </w:rPr>
        <w:t>%。参加医疗保险人数（含职工、居民）为</w:t>
      </w:r>
      <w:r>
        <w:rPr>
          <w:rFonts w:hint="eastAsia" w:ascii="仿宋_GB2312" w:hAnsi="宋体" w:eastAsia="仿宋_GB2312"/>
          <w:sz w:val="32"/>
          <w:szCs w:val="32"/>
        </w:rPr>
        <w:t>119345</w:t>
      </w:r>
      <w:r>
        <w:rPr>
          <w:rFonts w:ascii="仿宋_GB2312" w:hAnsi="宋体" w:eastAsia="仿宋_GB2312"/>
          <w:sz w:val="32"/>
          <w:szCs w:val="32"/>
        </w:rPr>
        <w:t>人，比上年</w:t>
      </w:r>
      <w:r>
        <w:rPr>
          <w:rFonts w:hint="eastAsia" w:ascii="仿宋_GB2312" w:hAnsi="宋体" w:eastAsia="仿宋_GB2312"/>
          <w:sz w:val="32"/>
          <w:szCs w:val="32"/>
        </w:rPr>
        <w:t>下降2.83</w:t>
      </w:r>
      <w:r>
        <w:rPr>
          <w:rFonts w:ascii="仿宋_GB2312" w:hAnsi="宋体" w:eastAsia="仿宋_GB2312"/>
          <w:sz w:val="32"/>
          <w:szCs w:val="32"/>
        </w:rPr>
        <w:t>%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>参加工伤保险人数为</w:t>
      </w:r>
      <w:r>
        <w:rPr>
          <w:rFonts w:hint="eastAsia" w:ascii="仿宋_GB2312" w:hAnsi="宋体" w:eastAsia="仿宋_GB2312"/>
          <w:sz w:val="32"/>
          <w:szCs w:val="32"/>
        </w:rPr>
        <w:t>61029</w:t>
      </w:r>
      <w:r>
        <w:rPr>
          <w:rFonts w:ascii="仿宋_GB2312" w:hAnsi="宋体" w:eastAsia="仿宋_GB2312"/>
          <w:sz w:val="32"/>
          <w:szCs w:val="32"/>
        </w:rPr>
        <w:t>人，比上年增长</w:t>
      </w:r>
      <w:r>
        <w:rPr>
          <w:rFonts w:hint="eastAsia" w:ascii="仿宋_GB2312" w:hAnsi="宋体" w:eastAsia="仿宋_GB2312"/>
          <w:sz w:val="32"/>
          <w:szCs w:val="32"/>
        </w:rPr>
        <w:t>34.17</w:t>
      </w:r>
      <w:r>
        <w:rPr>
          <w:rFonts w:ascii="仿宋_GB2312" w:hAnsi="宋体" w:eastAsia="仿宋_GB2312"/>
          <w:sz w:val="32"/>
          <w:szCs w:val="32"/>
        </w:rPr>
        <w:t>%。参加生育保险人数为</w:t>
      </w:r>
      <w:r>
        <w:rPr>
          <w:rFonts w:hint="eastAsia" w:ascii="仿宋_GB2312" w:hAnsi="宋体" w:eastAsia="仿宋_GB2312"/>
          <w:sz w:val="32"/>
          <w:szCs w:val="32"/>
        </w:rPr>
        <w:t>46706</w:t>
      </w:r>
      <w:r>
        <w:rPr>
          <w:rFonts w:ascii="仿宋_GB2312" w:hAnsi="宋体" w:eastAsia="仿宋_GB2312"/>
          <w:sz w:val="32"/>
          <w:szCs w:val="32"/>
        </w:rPr>
        <w:t>人，比上年增长</w:t>
      </w:r>
      <w:r>
        <w:rPr>
          <w:rFonts w:hint="eastAsia" w:ascii="仿宋_GB2312" w:hAnsi="宋体" w:eastAsia="仿宋_GB2312"/>
          <w:sz w:val="32"/>
          <w:szCs w:val="32"/>
        </w:rPr>
        <w:t>4.32</w:t>
      </w:r>
      <w:r>
        <w:rPr>
          <w:rFonts w:ascii="仿宋_GB2312" w:hAnsi="宋体" w:eastAsia="仿宋_GB2312"/>
          <w:sz w:val="32"/>
          <w:szCs w:val="32"/>
        </w:rPr>
        <w:t>%。</w:t>
      </w:r>
      <w:r>
        <w:rPr>
          <w:rFonts w:hint="eastAsia" w:ascii="仿宋_GB2312" w:hAnsi="宋体" w:eastAsia="仿宋_GB2312"/>
          <w:sz w:val="32"/>
          <w:szCs w:val="32"/>
        </w:rPr>
        <w:t>全市参加新型农村合作医疗</w:t>
      </w:r>
      <w:r>
        <w:rPr>
          <w:rFonts w:ascii="仿宋_GB2312" w:hAnsi="宋体" w:eastAsia="仿宋_GB2312"/>
          <w:sz w:val="32"/>
          <w:szCs w:val="32"/>
        </w:rPr>
        <w:t>36.</w:t>
      </w:r>
      <w:r>
        <w:rPr>
          <w:rFonts w:hint="eastAsia" w:ascii="仿宋_GB2312" w:hAnsi="宋体" w:eastAsia="仿宋_GB2312"/>
          <w:sz w:val="32"/>
          <w:szCs w:val="32"/>
        </w:rPr>
        <w:t>47</w:t>
      </w:r>
      <w:r>
        <w:rPr>
          <w:rFonts w:ascii="仿宋_GB2312" w:hAnsi="宋体" w:eastAsia="仿宋_GB2312"/>
          <w:sz w:val="32"/>
          <w:szCs w:val="32"/>
        </w:rPr>
        <w:t>万人，参合率</w:t>
      </w:r>
      <w:r>
        <w:rPr>
          <w:rFonts w:hint="eastAsia" w:ascii="仿宋_GB2312" w:hAnsi="宋体" w:eastAsia="仿宋_GB2312"/>
          <w:sz w:val="32"/>
          <w:szCs w:val="32"/>
        </w:rPr>
        <w:t>98.76</w:t>
      </w:r>
      <w:r>
        <w:rPr>
          <w:rFonts w:ascii="仿宋_GB2312" w:hAnsi="宋体" w:eastAsia="仿宋_GB2312"/>
          <w:sz w:val="32"/>
          <w:szCs w:val="32"/>
        </w:rPr>
        <w:t>%，参合农民就诊</w:t>
      </w:r>
      <w:r>
        <w:rPr>
          <w:rFonts w:hint="eastAsia" w:ascii="仿宋_GB2312" w:hAnsi="宋体" w:eastAsia="仿宋_GB2312"/>
          <w:sz w:val="32"/>
          <w:szCs w:val="32"/>
        </w:rPr>
        <w:t>19.8</w:t>
      </w:r>
      <w:r>
        <w:rPr>
          <w:rFonts w:ascii="仿宋_GB2312" w:hAnsi="宋体" w:eastAsia="仿宋_GB2312"/>
          <w:sz w:val="32"/>
          <w:szCs w:val="32"/>
        </w:rPr>
        <w:t>万人</w:t>
      </w:r>
      <w:r>
        <w:rPr>
          <w:rFonts w:hint="eastAsia" w:ascii="仿宋_GB2312" w:hAnsi="宋体" w:eastAsia="仿宋_GB2312"/>
          <w:sz w:val="32"/>
          <w:szCs w:val="32"/>
        </w:rPr>
        <w:t>次</w:t>
      </w:r>
      <w:r>
        <w:rPr>
          <w:rFonts w:ascii="仿宋_GB2312" w:hAnsi="宋体" w:eastAsia="仿宋_GB2312"/>
          <w:sz w:val="32"/>
          <w:szCs w:val="32"/>
        </w:rPr>
        <w:t>,补助</w:t>
      </w:r>
      <w:r>
        <w:rPr>
          <w:rFonts w:hint="eastAsia" w:ascii="仿宋_GB2312" w:hAnsi="宋体" w:eastAsia="仿宋_GB2312"/>
          <w:sz w:val="32"/>
          <w:szCs w:val="32"/>
        </w:rPr>
        <w:t>2.5</w:t>
      </w:r>
      <w:r>
        <w:rPr>
          <w:rFonts w:ascii="仿宋_GB2312" w:hAnsi="宋体" w:eastAsia="仿宋_GB2312"/>
          <w:sz w:val="32"/>
          <w:szCs w:val="32"/>
        </w:rPr>
        <w:t>亿元，人均获得补助</w:t>
      </w:r>
      <w:r>
        <w:rPr>
          <w:rFonts w:hint="eastAsia" w:ascii="仿宋_GB2312" w:hAnsi="宋体" w:eastAsia="仿宋_GB2312"/>
          <w:sz w:val="32"/>
          <w:szCs w:val="32"/>
        </w:rPr>
        <w:t>1263</w:t>
      </w:r>
      <w:r>
        <w:rPr>
          <w:rFonts w:ascii="仿宋_GB2312" w:hAnsi="宋体" w:eastAsia="仿宋_GB2312"/>
          <w:sz w:val="32"/>
          <w:szCs w:val="32"/>
        </w:rPr>
        <w:t>元。</w:t>
      </w:r>
    </w:p>
    <w:p>
      <w:pPr>
        <w:spacing w:line="5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全市享受最低生活保障15345人，208148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次</w:t>
      </w:r>
      <w:r>
        <w:rPr>
          <w:rFonts w:ascii="仿宋_GB2312" w:hAnsi="宋体" w:eastAsia="仿宋_GB2312"/>
          <w:sz w:val="32"/>
          <w:szCs w:val="32"/>
        </w:rPr>
        <w:t>。其中</w:t>
      </w:r>
      <w:r>
        <w:rPr>
          <w:rFonts w:hint="eastAsia" w:ascii="仿宋_GB2312" w:hAnsi="宋体" w:eastAsia="仿宋_GB2312"/>
          <w:sz w:val="32"/>
          <w:szCs w:val="32"/>
        </w:rPr>
        <w:t>：城市4008人，65470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次，农村11337人，142678</w:t>
      </w:r>
      <w:r>
        <w:rPr>
          <w:rFonts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</w:rPr>
        <w:t>次。全年共支出低保金5838.74</w:t>
      </w:r>
      <w:r>
        <w:rPr>
          <w:rFonts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</w:rPr>
        <w:t>，比上年下降20.68</w:t>
      </w:r>
      <w:r>
        <w:rPr>
          <w:rFonts w:ascii="仿宋_GB2312" w:hAnsi="宋体" w:eastAsia="仿宋_GB2312"/>
          <w:sz w:val="32"/>
          <w:szCs w:val="32"/>
        </w:rPr>
        <w:t>%。</w:t>
      </w:r>
    </w:p>
    <w:p>
      <w:pPr>
        <w:adjustRightInd w:val="0"/>
        <w:spacing w:line="560" w:lineRule="exact"/>
        <w:ind w:left="0" w:firstLine="639" w:firstLineChars="199"/>
        <w:rPr>
          <w:rFonts w:ascii="仿宋_GB2312" w:eastAsia="仿宋_GB2312"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社会福利：</w:t>
      </w:r>
      <w:r>
        <w:rPr>
          <w:rFonts w:hint="eastAsia" w:ascii="仿宋_GB2312" w:hAnsi="仿宋_GB2312" w:eastAsia="仿宋_GB2312" w:cs="仿宋_GB2312"/>
          <w:sz w:val="32"/>
          <w:szCs w:val="30"/>
        </w:rPr>
        <w:t>全市各类收养性社会福利单位数</w:t>
      </w:r>
      <w:r>
        <w:rPr>
          <w:rFonts w:ascii="仿宋_GB2312" w:hAnsi="仿宋_GB2312" w:eastAsia="仿宋_GB2312" w:cs="仿宋_GB2312"/>
          <w:sz w:val="32"/>
          <w:szCs w:val="30"/>
        </w:rPr>
        <w:t>1个，床位100张。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0"/>
        </w:rPr>
      </w:pPr>
      <w:r>
        <w:rPr>
          <w:rFonts w:hint="eastAsia" w:ascii="黑体" w:hAnsi="黑体" w:eastAsia="黑体" w:cs="仿宋"/>
          <w:bCs/>
          <w:sz w:val="32"/>
          <w:szCs w:val="30"/>
        </w:rPr>
        <w:t>十、城市建设、环境保护和安全生产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　　城市建设：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国家园林城市创建工作，完成了《凯里市城市绿化管理办法》拟定颁布和园林城市卫星遥感影像解译与绿化信息提取工作。大力推进了“增绿”工程，完成了申黔数据中心、大十字中心区域、鸭塘至舟溪道路左侧空地（二期）、中科汉天下空地、宇源光电厂空地、鸭塘青虎冲至高速路桥脚、州委党校新校区、三棵树红绿灯至高速东站出口两侧、裸露山体边坡绿化样板点等12个绿化建设项目。实施完成了行政中心森林公园、苹果山公园、龙头河公园、二六二鑫鼎公园、地质公园、洗马河休闲广场、虎庄广场、辛加坡广场、永华厂小广场、州委广场等11个公园广场建设，市民休闲娱乐空间得到明显改善。有序推进城市道路绿化亮化提升及市政设施完善，完成了高速东出口至三棵树红绿灯、三棵树红绿灯至高速西出口、高速南出口至舟溪方向道路两侧行道树提升以及北京东西、韶山南北路中间隔离带等道路绿化提升工程；将城区主次干道路灯全部升级改造为华灯，实现路灯“五摇”智能化管理；完成垃圾箱提升、迎宾大道地下排水管道、小街小巷道路硬化等市政基础设施建设，城市形象上档升位。在主次干道、重要公共场所推行“以克论净”深度保洁作法，推动城市环卫保洁管理模式转变，进一步提高环卫清扫机械化水平。垃圾收运系统二期工程正在积极推进中，该工程的建成将使我市城乡垃圾收运得到新改观，推动城乡垃圾收运一体化进程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　道路建设：</w:t>
      </w:r>
      <w:r>
        <w:rPr>
          <w:rFonts w:hint="eastAsia" w:ascii="仿宋_GB2312" w:hAnsi="仿宋_GB2312" w:eastAsia="仿宋_GB2312" w:cs="仿宋_GB2312"/>
          <w:sz w:val="32"/>
          <w:szCs w:val="32"/>
        </w:rPr>
        <w:t>韶山南北路供水管线迁改、七中菜市场周边环境整治、白果</w:t>
      </w:r>
      <w:r>
        <w:rPr>
          <w:rFonts w:hint="eastAsia" w:ascii="仿宋_GB2312" w:eastAsia="仿宋_GB2312"/>
          <w:sz w:val="28"/>
          <w:szCs w:val="28"/>
        </w:rPr>
        <w:t>井至三棵树城市主干道绿化亮化、二商场至老猫洞道路“白改黑”等35项市政设施工程全面建成投入使用，城市形象进一步提升。苹果山公园、佳和盛世广场等公园、广场建设顺利推进，市民休闲娱乐空间明显改善。未来城、金泉国际、华恺尚城、凯威·万国城等一批大型城市综合体建设顺利推进。启动了马坡井、涤纶厂、棉纺厂等10个棚户区改造，市民居住条件逐步改善。上马石片区廉租房全面建成投入使用，有效解决2096户7336人城区低收入家庭住房困难问题。新增和更换清洁能源公交车128辆，新投放出租车150辆。国家级文明城市、环保模范城市、智慧城市、森林城市、园林城市和双拥模范城市等品牌创建不断取得新进展，创建国家卫生城市顺利通过国家爱卫办综合评审，已命名为国家卫生城市。</w:t>
      </w:r>
    </w:p>
    <w:p>
      <w:pPr>
        <w:spacing w:line="560" w:lineRule="exact"/>
        <w:ind w:left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环境保护：</w:t>
      </w:r>
      <w:r>
        <w:rPr>
          <w:rFonts w:hint="eastAsia" w:ascii="仿宋_GB2312" w:eastAsia="仿宋_GB2312"/>
          <w:sz w:val="32"/>
          <w:szCs w:val="32"/>
        </w:rPr>
        <w:t>城市污水处理率达98.01%，生活污水治理设施处理能力12.02万吨/日，城乡生活垃圾无害化处理率达97.3%。集中饮用水源地水质达标率100%，城市空气质量达标率98.1%。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安全生产：</w:t>
      </w:r>
      <w:r>
        <w:rPr>
          <w:rFonts w:hint="eastAsia" w:ascii="仿宋_GB2312" w:hAnsi="宋体" w:eastAsia="仿宋_GB2312"/>
          <w:sz w:val="32"/>
          <w:szCs w:val="32"/>
        </w:rPr>
        <w:t>全年生产安全事故36起，同比增长56.5%，死亡人数13人，同比下降27.8%。其中：道路交通事故数31起，同</w:t>
      </w:r>
      <w:r>
        <w:rPr>
          <w:rFonts w:hint="eastAsia" w:ascii="仿宋_GB2312" w:eastAsia="仿宋_GB2312"/>
          <w:sz w:val="32"/>
          <w:szCs w:val="32"/>
        </w:rPr>
        <w:t>比增长72.2%</w:t>
      </w:r>
      <w:r>
        <w:rPr>
          <w:rFonts w:hint="eastAsia" w:ascii="仿宋_GB2312" w:hAnsi="宋体" w:eastAsia="仿宋_GB2312"/>
          <w:sz w:val="32"/>
          <w:szCs w:val="32"/>
        </w:rPr>
        <w:t>，死亡人数9人，同比下降30.8%。</w:t>
      </w:r>
    </w:p>
    <w:p>
      <w:pPr>
        <w:pStyle w:val="2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30"/>
        </w:rPr>
        <w:t>　　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注：</w:t>
      </w:r>
    </w:p>
    <w:p>
      <w:pPr>
        <w:tabs>
          <w:tab w:val="left" w:pos="1764"/>
        </w:tabs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1.本公报各项数据系初步统计数；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2.生产总值（GDP）、各产业增加值、农业总产值、绝对值按当年价计算，增长速度按可比价计算；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3.固定资产投资增速为反馈数；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4.年末常住人口总数为州统计局反馈数；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5.年末人数和人均指标均按常住半年人口计算；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6.人口出生率，死亡率，自然增长率由市卫健局提供；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7.森林覆盖率由市林业局提供；</w:t>
      </w:r>
    </w:p>
    <w:p>
      <w:pPr>
        <w:spacing w:line="56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8.城镇新增就业人数及综合科技进步水平指数为2019年18个城区方阵综合测评反馈数据</w:t>
      </w:r>
    </w:p>
    <w:p>
      <w:pPr>
        <w:pStyle w:val="2"/>
        <w:ind w:firstLine="48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9.自2019年起，薯类产量改为鲜薯，不再进行折粮统计。</w:t>
      </w:r>
    </w:p>
    <w:p>
      <w:pPr>
        <w:pStyle w:val="2"/>
        <w:ind w:firstLine="48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ind w:firstLine="48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ind w:firstLine="48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ind w:firstLine="48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凯里市统计局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                      2020年4月15日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375" w:y="18"/>
      <w:rPr>
        <w:rStyle w:val="14"/>
        <w:rFonts w:ascii="宋体" w:hAnsi="宋体"/>
        <w:sz w:val="32"/>
        <w:szCs w:val="32"/>
      </w:rPr>
    </w:pPr>
    <w:r>
      <w:rPr>
        <w:rStyle w:val="14"/>
        <w:rFonts w:hint="eastAsia" w:ascii="宋体" w:hAnsi="宋体"/>
        <w:sz w:val="32"/>
        <w:szCs w:val="32"/>
      </w:rPr>
      <w:t>—</w:t>
    </w:r>
    <w:r>
      <w:rPr>
        <w:rFonts w:ascii="宋体" w:hAnsi="宋体"/>
        <w:sz w:val="32"/>
        <w:szCs w:val="32"/>
      </w:rPr>
      <w:fldChar w:fldCharType="begin"/>
    </w:r>
    <w:r>
      <w:rPr>
        <w:rStyle w:val="14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14"/>
        <w:rFonts w:ascii="宋体" w:hAnsi="宋体"/>
        <w:sz w:val="32"/>
        <w:szCs w:val="32"/>
      </w:rPr>
      <w:t>17</w:t>
    </w:r>
    <w:r>
      <w:rPr>
        <w:rFonts w:ascii="宋体" w:hAnsi="宋体"/>
        <w:sz w:val="32"/>
        <w:szCs w:val="32"/>
      </w:rPr>
      <w:fldChar w:fldCharType="end"/>
    </w:r>
    <w:r>
      <w:rPr>
        <w:rStyle w:val="14"/>
        <w:rFonts w:hint="eastAsia" w:ascii="宋体" w:hAnsi="宋体"/>
        <w:sz w:val="32"/>
        <w:szCs w:val="32"/>
      </w:rPr>
      <w:t>—</w:t>
    </w:r>
  </w:p>
  <w:p>
    <w:pPr>
      <w:pStyle w:val="7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509" w:y="64"/>
      <w:rPr>
        <w:rStyle w:val="14"/>
        <w:sz w:val="32"/>
        <w:szCs w:val="32"/>
      </w:rPr>
    </w:pPr>
    <w:r>
      <w:rPr>
        <w:rStyle w:val="14"/>
        <w:rFonts w:hint="eastAsia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rStyle w:val="14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14"/>
        <w:sz w:val="32"/>
        <w:szCs w:val="32"/>
      </w:rPr>
      <w:t>18</w:t>
    </w:r>
    <w:r>
      <w:rPr>
        <w:sz w:val="32"/>
        <w:szCs w:val="32"/>
      </w:rPr>
      <w:fldChar w:fldCharType="end"/>
    </w:r>
    <w:r>
      <w:rPr>
        <w:rStyle w:val="14"/>
        <w:rFonts w:hint="eastAsia"/>
        <w:sz w:val="32"/>
        <w:szCs w:val="32"/>
      </w:rPr>
      <w:t>—</w:t>
    </w:r>
  </w:p>
  <w:p>
    <w:pPr>
      <w:pStyle w:val="7"/>
      <w:rPr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0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6BE"/>
    <w:rsid w:val="00012318"/>
    <w:rsid w:val="0002204C"/>
    <w:rsid w:val="000677AA"/>
    <w:rsid w:val="00070A95"/>
    <w:rsid w:val="000712F7"/>
    <w:rsid w:val="00086AD9"/>
    <w:rsid w:val="000A413B"/>
    <w:rsid w:val="000B01C4"/>
    <w:rsid w:val="000D6108"/>
    <w:rsid w:val="000D744A"/>
    <w:rsid w:val="000F6B20"/>
    <w:rsid w:val="0012289B"/>
    <w:rsid w:val="00134792"/>
    <w:rsid w:val="0016039C"/>
    <w:rsid w:val="0016519E"/>
    <w:rsid w:val="00170F06"/>
    <w:rsid w:val="00172A27"/>
    <w:rsid w:val="00183C0B"/>
    <w:rsid w:val="0018584A"/>
    <w:rsid w:val="0019342B"/>
    <w:rsid w:val="001B5916"/>
    <w:rsid w:val="001C4B18"/>
    <w:rsid w:val="001C724B"/>
    <w:rsid w:val="001D39B8"/>
    <w:rsid w:val="001D68EB"/>
    <w:rsid w:val="00202C86"/>
    <w:rsid w:val="00227BE7"/>
    <w:rsid w:val="002355D0"/>
    <w:rsid w:val="00242405"/>
    <w:rsid w:val="002453BE"/>
    <w:rsid w:val="0025189E"/>
    <w:rsid w:val="00263BC9"/>
    <w:rsid w:val="0027058C"/>
    <w:rsid w:val="00275494"/>
    <w:rsid w:val="00275A4B"/>
    <w:rsid w:val="00287686"/>
    <w:rsid w:val="00295272"/>
    <w:rsid w:val="002B0258"/>
    <w:rsid w:val="002B1B3A"/>
    <w:rsid w:val="002B352B"/>
    <w:rsid w:val="002C1F66"/>
    <w:rsid w:val="002E2EEC"/>
    <w:rsid w:val="00304F98"/>
    <w:rsid w:val="00311A42"/>
    <w:rsid w:val="00331DD7"/>
    <w:rsid w:val="00361A72"/>
    <w:rsid w:val="00367CE1"/>
    <w:rsid w:val="00381FA4"/>
    <w:rsid w:val="00384F68"/>
    <w:rsid w:val="00387987"/>
    <w:rsid w:val="0039533E"/>
    <w:rsid w:val="003A6C82"/>
    <w:rsid w:val="003B5008"/>
    <w:rsid w:val="003C3456"/>
    <w:rsid w:val="003E4B8A"/>
    <w:rsid w:val="0041081A"/>
    <w:rsid w:val="00437688"/>
    <w:rsid w:val="00443859"/>
    <w:rsid w:val="0044411A"/>
    <w:rsid w:val="00462D42"/>
    <w:rsid w:val="00463A3E"/>
    <w:rsid w:val="00467098"/>
    <w:rsid w:val="0048140F"/>
    <w:rsid w:val="004B6C59"/>
    <w:rsid w:val="004D4693"/>
    <w:rsid w:val="004D51A9"/>
    <w:rsid w:val="004E24C8"/>
    <w:rsid w:val="004F6BD9"/>
    <w:rsid w:val="004F7683"/>
    <w:rsid w:val="005130B5"/>
    <w:rsid w:val="0053705D"/>
    <w:rsid w:val="00544190"/>
    <w:rsid w:val="00544BE9"/>
    <w:rsid w:val="00572255"/>
    <w:rsid w:val="0058688D"/>
    <w:rsid w:val="00593BCD"/>
    <w:rsid w:val="005B1C7F"/>
    <w:rsid w:val="005B4DC4"/>
    <w:rsid w:val="005B691A"/>
    <w:rsid w:val="005E31A6"/>
    <w:rsid w:val="00602EA0"/>
    <w:rsid w:val="0062722B"/>
    <w:rsid w:val="00652E4F"/>
    <w:rsid w:val="0065703A"/>
    <w:rsid w:val="00657A52"/>
    <w:rsid w:val="006606EF"/>
    <w:rsid w:val="006807D7"/>
    <w:rsid w:val="0068101B"/>
    <w:rsid w:val="006B1ABD"/>
    <w:rsid w:val="006F185C"/>
    <w:rsid w:val="00700404"/>
    <w:rsid w:val="007062D8"/>
    <w:rsid w:val="007232FB"/>
    <w:rsid w:val="00736657"/>
    <w:rsid w:val="00743891"/>
    <w:rsid w:val="00753375"/>
    <w:rsid w:val="00760D66"/>
    <w:rsid w:val="0076189A"/>
    <w:rsid w:val="00770E4F"/>
    <w:rsid w:val="007710B5"/>
    <w:rsid w:val="007736CF"/>
    <w:rsid w:val="00774E78"/>
    <w:rsid w:val="00786022"/>
    <w:rsid w:val="007971FF"/>
    <w:rsid w:val="007D4F54"/>
    <w:rsid w:val="007E1146"/>
    <w:rsid w:val="007F6C80"/>
    <w:rsid w:val="00804440"/>
    <w:rsid w:val="00804B85"/>
    <w:rsid w:val="0081552D"/>
    <w:rsid w:val="00820B84"/>
    <w:rsid w:val="00834E25"/>
    <w:rsid w:val="00845C36"/>
    <w:rsid w:val="00850B58"/>
    <w:rsid w:val="00860BE2"/>
    <w:rsid w:val="0086707A"/>
    <w:rsid w:val="008764D0"/>
    <w:rsid w:val="0089678E"/>
    <w:rsid w:val="008A7C08"/>
    <w:rsid w:val="008C5F03"/>
    <w:rsid w:val="008D750E"/>
    <w:rsid w:val="008E125E"/>
    <w:rsid w:val="008E1DD4"/>
    <w:rsid w:val="008E3A64"/>
    <w:rsid w:val="009010D9"/>
    <w:rsid w:val="00916C4E"/>
    <w:rsid w:val="00932BB2"/>
    <w:rsid w:val="00941A8D"/>
    <w:rsid w:val="0094545B"/>
    <w:rsid w:val="0095357F"/>
    <w:rsid w:val="00964D6E"/>
    <w:rsid w:val="009828A7"/>
    <w:rsid w:val="009A2122"/>
    <w:rsid w:val="009B0785"/>
    <w:rsid w:val="009D1B09"/>
    <w:rsid w:val="009D393C"/>
    <w:rsid w:val="009D53E2"/>
    <w:rsid w:val="009D6F22"/>
    <w:rsid w:val="009E2781"/>
    <w:rsid w:val="009F6766"/>
    <w:rsid w:val="00A1571D"/>
    <w:rsid w:val="00A230CD"/>
    <w:rsid w:val="00A27439"/>
    <w:rsid w:val="00A32D12"/>
    <w:rsid w:val="00A3723D"/>
    <w:rsid w:val="00A51997"/>
    <w:rsid w:val="00A61589"/>
    <w:rsid w:val="00A70234"/>
    <w:rsid w:val="00A8532E"/>
    <w:rsid w:val="00AA0149"/>
    <w:rsid w:val="00AA4EDE"/>
    <w:rsid w:val="00AA6DD6"/>
    <w:rsid w:val="00AD46A6"/>
    <w:rsid w:val="00B04261"/>
    <w:rsid w:val="00B06510"/>
    <w:rsid w:val="00BB7EBE"/>
    <w:rsid w:val="00BC26E1"/>
    <w:rsid w:val="00BC3C21"/>
    <w:rsid w:val="00BC46D0"/>
    <w:rsid w:val="00BC5F1A"/>
    <w:rsid w:val="00BD31C7"/>
    <w:rsid w:val="00BD668B"/>
    <w:rsid w:val="00BE2528"/>
    <w:rsid w:val="00BE47B9"/>
    <w:rsid w:val="00BE4BC0"/>
    <w:rsid w:val="00BE5FFC"/>
    <w:rsid w:val="00BF4856"/>
    <w:rsid w:val="00C118D1"/>
    <w:rsid w:val="00C1351D"/>
    <w:rsid w:val="00C45EE2"/>
    <w:rsid w:val="00C507B5"/>
    <w:rsid w:val="00C70DFD"/>
    <w:rsid w:val="00C73F0E"/>
    <w:rsid w:val="00C800EE"/>
    <w:rsid w:val="00C97621"/>
    <w:rsid w:val="00CD4E77"/>
    <w:rsid w:val="00CE429F"/>
    <w:rsid w:val="00CF4633"/>
    <w:rsid w:val="00D04BA2"/>
    <w:rsid w:val="00D10700"/>
    <w:rsid w:val="00D20A63"/>
    <w:rsid w:val="00D31730"/>
    <w:rsid w:val="00D52C72"/>
    <w:rsid w:val="00D5639A"/>
    <w:rsid w:val="00D777DB"/>
    <w:rsid w:val="00D81AAB"/>
    <w:rsid w:val="00D832C6"/>
    <w:rsid w:val="00D85452"/>
    <w:rsid w:val="00D87FCF"/>
    <w:rsid w:val="00DA3F57"/>
    <w:rsid w:val="00DC64BD"/>
    <w:rsid w:val="00DD512E"/>
    <w:rsid w:val="00DD6DC8"/>
    <w:rsid w:val="00DE5B6B"/>
    <w:rsid w:val="00DF7F8A"/>
    <w:rsid w:val="00E01C2E"/>
    <w:rsid w:val="00E1259D"/>
    <w:rsid w:val="00E12AA7"/>
    <w:rsid w:val="00E55FAF"/>
    <w:rsid w:val="00E8045E"/>
    <w:rsid w:val="00EA0DCC"/>
    <w:rsid w:val="00EB60A8"/>
    <w:rsid w:val="00ED0D14"/>
    <w:rsid w:val="00F33D19"/>
    <w:rsid w:val="00F3561A"/>
    <w:rsid w:val="00F80708"/>
    <w:rsid w:val="00F83CE8"/>
    <w:rsid w:val="00F84809"/>
    <w:rsid w:val="00F91BB2"/>
    <w:rsid w:val="00FB1B2B"/>
    <w:rsid w:val="00FC0B86"/>
    <w:rsid w:val="00FC5E61"/>
    <w:rsid w:val="00FF2960"/>
    <w:rsid w:val="010933A7"/>
    <w:rsid w:val="010C5E1D"/>
    <w:rsid w:val="013D0B9D"/>
    <w:rsid w:val="01416061"/>
    <w:rsid w:val="015B0D83"/>
    <w:rsid w:val="016176DC"/>
    <w:rsid w:val="01912BE2"/>
    <w:rsid w:val="01A9581A"/>
    <w:rsid w:val="01D402BF"/>
    <w:rsid w:val="02050FA0"/>
    <w:rsid w:val="022F6BF7"/>
    <w:rsid w:val="0230085D"/>
    <w:rsid w:val="024600AA"/>
    <w:rsid w:val="02756A64"/>
    <w:rsid w:val="02942F63"/>
    <w:rsid w:val="02AA2A9D"/>
    <w:rsid w:val="02F21810"/>
    <w:rsid w:val="030241D3"/>
    <w:rsid w:val="03132154"/>
    <w:rsid w:val="032D2F85"/>
    <w:rsid w:val="034E0A3C"/>
    <w:rsid w:val="03526983"/>
    <w:rsid w:val="035E42A8"/>
    <w:rsid w:val="035E709B"/>
    <w:rsid w:val="03610CF9"/>
    <w:rsid w:val="03634DAD"/>
    <w:rsid w:val="03804972"/>
    <w:rsid w:val="03A2532A"/>
    <w:rsid w:val="03C315DB"/>
    <w:rsid w:val="03D01596"/>
    <w:rsid w:val="03FC1D32"/>
    <w:rsid w:val="03FF7B3B"/>
    <w:rsid w:val="040213C1"/>
    <w:rsid w:val="040D33FD"/>
    <w:rsid w:val="04481937"/>
    <w:rsid w:val="04500BDF"/>
    <w:rsid w:val="045E03BC"/>
    <w:rsid w:val="046563F1"/>
    <w:rsid w:val="04683194"/>
    <w:rsid w:val="04922869"/>
    <w:rsid w:val="04A533FF"/>
    <w:rsid w:val="04B70986"/>
    <w:rsid w:val="04B877BB"/>
    <w:rsid w:val="04C02B8F"/>
    <w:rsid w:val="04D84214"/>
    <w:rsid w:val="04DF1418"/>
    <w:rsid w:val="04FA7CD6"/>
    <w:rsid w:val="051B469F"/>
    <w:rsid w:val="05477724"/>
    <w:rsid w:val="05681AC8"/>
    <w:rsid w:val="056D385B"/>
    <w:rsid w:val="059012B1"/>
    <w:rsid w:val="05922DF0"/>
    <w:rsid w:val="059E2202"/>
    <w:rsid w:val="05A33025"/>
    <w:rsid w:val="05A641B6"/>
    <w:rsid w:val="05C256C6"/>
    <w:rsid w:val="05D8493E"/>
    <w:rsid w:val="05F03330"/>
    <w:rsid w:val="05F66F7C"/>
    <w:rsid w:val="060D49F8"/>
    <w:rsid w:val="0618465C"/>
    <w:rsid w:val="06443983"/>
    <w:rsid w:val="064729A6"/>
    <w:rsid w:val="06542F3C"/>
    <w:rsid w:val="065F587F"/>
    <w:rsid w:val="067D49D2"/>
    <w:rsid w:val="06886B3E"/>
    <w:rsid w:val="06886FAB"/>
    <w:rsid w:val="06BC74C9"/>
    <w:rsid w:val="06EF2A87"/>
    <w:rsid w:val="070825E9"/>
    <w:rsid w:val="07317A6B"/>
    <w:rsid w:val="076E3DAE"/>
    <w:rsid w:val="07735CB2"/>
    <w:rsid w:val="078A3D48"/>
    <w:rsid w:val="078E1218"/>
    <w:rsid w:val="07924D70"/>
    <w:rsid w:val="07A93B43"/>
    <w:rsid w:val="07C8021A"/>
    <w:rsid w:val="07CA2326"/>
    <w:rsid w:val="07D024E5"/>
    <w:rsid w:val="081B22B4"/>
    <w:rsid w:val="08211FB5"/>
    <w:rsid w:val="08284782"/>
    <w:rsid w:val="08372672"/>
    <w:rsid w:val="08A964B5"/>
    <w:rsid w:val="08B863E8"/>
    <w:rsid w:val="08CB43AD"/>
    <w:rsid w:val="08D348A7"/>
    <w:rsid w:val="08EA3157"/>
    <w:rsid w:val="09695B6A"/>
    <w:rsid w:val="099C5A73"/>
    <w:rsid w:val="09B5718B"/>
    <w:rsid w:val="09BC279E"/>
    <w:rsid w:val="09CE6A8B"/>
    <w:rsid w:val="09D44CBA"/>
    <w:rsid w:val="09DC4B95"/>
    <w:rsid w:val="09F2115F"/>
    <w:rsid w:val="09F415D4"/>
    <w:rsid w:val="0A0220CD"/>
    <w:rsid w:val="0A0E12FF"/>
    <w:rsid w:val="0A1A3C96"/>
    <w:rsid w:val="0A206EF5"/>
    <w:rsid w:val="0A3A4DE8"/>
    <w:rsid w:val="0A45468E"/>
    <w:rsid w:val="0A61521F"/>
    <w:rsid w:val="0A8D52B9"/>
    <w:rsid w:val="0A984CF3"/>
    <w:rsid w:val="0AA41159"/>
    <w:rsid w:val="0AA93246"/>
    <w:rsid w:val="0AAB6E02"/>
    <w:rsid w:val="0AC5031C"/>
    <w:rsid w:val="0ACC3DC4"/>
    <w:rsid w:val="0ADB386F"/>
    <w:rsid w:val="0ADD76F0"/>
    <w:rsid w:val="0ADE7F6B"/>
    <w:rsid w:val="0AF239C6"/>
    <w:rsid w:val="0B006AF8"/>
    <w:rsid w:val="0B021E15"/>
    <w:rsid w:val="0B13771C"/>
    <w:rsid w:val="0B2978C0"/>
    <w:rsid w:val="0B3316DE"/>
    <w:rsid w:val="0B337A7F"/>
    <w:rsid w:val="0B385E68"/>
    <w:rsid w:val="0B3C4208"/>
    <w:rsid w:val="0B3F4BFC"/>
    <w:rsid w:val="0B5B4A7E"/>
    <w:rsid w:val="0BC45849"/>
    <w:rsid w:val="0BCD053C"/>
    <w:rsid w:val="0BCF532F"/>
    <w:rsid w:val="0BE5212F"/>
    <w:rsid w:val="0BED51FB"/>
    <w:rsid w:val="0BF90BAE"/>
    <w:rsid w:val="0C192580"/>
    <w:rsid w:val="0C645F8F"/>
    <w:rsid w:val="0C6F606F"/>
    <w:rsid w:val="0C7938B1"/>
    <w:rsid w:val="0C972EB2"/>
    <w:rsid w:val="0C9F3986"/>
    <w:rsid w:val="0CA34F49"/>
    <w:rsid w:val="0CAB67E3"/>
    <w:rsid w:val="0CAC67F0"/>
    <w:rsid w:val="0CC448D7"/>
    <w:rsid w:val="0CCF7B90"/>
    <w:rsid w:val="0CE97F7B"/>
    <w:rsid w:val="0CEB421B"/>
    <w:rsid w:val="0CED34A0"/>
    <w:rsid w:val="0D1200E2"/>
    <w:rsid w:val="0D1E545E"/>
    <w:rsid w:val="0D562BDF"/>
    <w:rsid w:val="0D647208"/>
    <w:rsid w:val="0D7754F8"/>
    <w:rsid w:val="0D860E2C"/>
    <w:rsid w:val="0D8C53E9"/>
    <w:rsid w:val="0D940CBC"/>
    <w:rsid w:val="0DA05A3E"/>
    <w:rsid w:val="0DDD5435"/>
    <w:rsid w:val="0DF94862"/>
    <w:rsid w:val="0DFE6701"/>
    <w:rsid w:val="0E150DE0"/>
    <w:rsid w:val="0E1C5A9D"/>
    <w:rsid w:val="0E4624CB"/>
    <w:rsid w:val="0E533DA0"/>
    <w:rsid w:val="0E674069"/>
    <w:rsid w:val="0E716F33"/>
    <w:rsid w:val="0EA23FC5"/>
    <w:rsid w:val="0EAD34DE"/>
    <w:rsid w:val="0EB5746B"/>
    <w:rsid w:val="0EDD3F2D"/>
    <w:rsid w:val="0EEE784C"/>
    <w:rsid w:val="0F00743E"/>
    <w:rsid w:val="0F084E53"/>
    <w:rsid w:val="0F0B50C3"/>
    <w:rsid w:val="0F0C3EC5"/>
    <w:rsid w:val="0F115C93"/>
    <w:rsid w:val="0F36383F"/>
    <w:rsid w:val="0F396A84"/>
    <w:rsid w:val="0F5522A9"/>
    <w:rsid w:val="0F631F9D"/>
    <w:rsid w:val="0F700F02"/>
    <w:rsid w:val="0F8622BF"/>
    <w:rsid w:val="0F9E0C90"/>
    <w:rsid w:val="0FAE67B8"/>
    <w:rsid w:val="0FBE78E9"/>
    <w:rsid w:val="0FC97D90"/>
    <w:rsid w:val="0FD3738B"/>
    <w:rsid w:val="0FD90378"/>
    <w:rsid w:val="0FEA7D4B"/>
    <w:rsid w:val="0FF7670F"/>
    <w:rsid w:val="0FF84188"/>
    <w:rsid w:val="0FFB27C9"/>
    <w:rsid w:val="101C3C68"/>
    <w:rsid w:val="105A00C0"/>
    <w:rsid w:val="105A2957"/>
    <w:rsid w:val="106137AD"/>
    <w:rsid w:val="10827E18"/>
    <w:rsid w:val="10926C37"/>
    <w:rsid w:val="10E31ECC"/>
    <w:rsid w:val="111344D9"/>
    <w:rsid w:val="111A44F7"/>
    <w:rsid w:val="1140634F"/>
    <w:rsid w:val="116274CA"/>
    <w:rsid w:val="11657A54"/>
    <w:rsid w:val="116E78D1"/>
    <w:rsid w:val="11AB7FC2"/>
    <w:rsid w:val="120F5FC1"/>
    <w:rsid w:val="12164784"/>
    <w:rsid w:val="12240F29"/>
    <w:rsid w:val="123701C6"/>
    <w:rsid w:val="12390EE9"/>
    <w:rsid w:val="125324AB"/>
    <w:rsid w:val="126975CD"/>
    <w:rsid w:val="127335DB"/>
    <w:rsid w:val="128514EF"/>
    <w:rsid w:val="129F40E6"/>
    <w:rsid w:val="12AB6FC1"/>
    <w:rsid w:val="12AE62FC"/>
    <w:rsid w:val="12DE3052"/>
    <w:rsid w:val="13022CA5"/>
    <w:rsid w:val="13187DBC"/>
    <w:rsid w:val="1319536A"/>
    <w:rsid w:val="13216E20"/>
    <w:rsid w:val="138A5100"/>
    <w:rsid w:val="138F2BB9"/>
    <w:rsid w:val="13934A5B"/>
    <w:rsid w:val="13984FBF"/>
    <w:rsid w:val="139D1755"/>
    <w:rsid w:val="13C06D68"/>
    <w:rsid w:val="13C25E61"/>
    <w:rsid w:val="13C42A59"/>
    <w:rsid w:val="13D639C5"/>
    <w:rsid w:val="140956E2"/>
    <w:rsid w:val="14117D61"/>
    <w:rsid w:val="142447C4"/>
    <w:rsid w:val="142706CD"/>
    <w:rsid w:val="142F1140"/>
    <w:rsid w:val="143B291F"/>
    <w:rsid w:val="143C51B7"/>
    <w:rsid w:val="1445739B"/>
    <w:rsid w:val="14461271"/>
    <w:rsid w:val="14783127"/>
    <w:rsid w:val="14906176"/>
    <w:rsid w:val="149B14BB"/>
    <w:rsid w:val="14B567FC"/>
    <w:rsid w:val="14B94F80"/>
    <w:rsid w:val="14F76EB0"/>
    <w:rsid w:val="14FD589D"/>
    <w:rsid w:val="150B5C1A"/>
    <w:rsid w:val="153449DE"/>
    <w:rsid w:val="15605997"/>
    <w:rsid w:val="156210C6"/>
    <w:rsid w:val="156F18C8"/>
    <w:rsid w:val="159B6D7B"/>
    <w:rsid w:val="159E74F7"/>
    <w:rsid w:val="15BA7AFB"/>
    <w:rsid w:val="15ED3E65"/>
    <w:rsid w:val="15F34CF0"/>
    <w:rsid w:val="16065F5B"/>
    <w:rsid w:val="1606711B"/>
    <w:rsid w:val="16073CD0"/>
    <w:rsid w:val="161B26F1"/>
    <w:rsid w:val="1641773E"/>
    <w:rsid w:val="166D1834"/>
    <w:rsid w:val="16887726"/>
    <w:rsid w:val="16906097"/>
    <w:rsid w:val="169307E6"/>
    <w:rsid w:val="169B69CE"/>
    <w:rsid w:val="16A9283C"/>
    <w:rsid w:val="16C508B8"/>
    <w:rsid w:val="171356B6"/>
    <w:rsid w:val="171F0E3F"/>
    <w:rsid w:val="173C0C1D"/>
    <w:rsid w:val="174A626D"/>
    <w:rsid w:val="17654618"/>
    <w:rsid w:val="1789087B"/>
    <w:rsid w:val="17A17C22"/>
    <w:rsid w:val="17A64AF9"/>
    <w:rsid w:val="17B201EE"/>
    <w:rsid w:val="17CF0ED6"/>
    <w:rsid w:val="17CF5963"/>
    <w:rsid w:val="17E73F0F"/>
    <w:rsid w:val="17FC64CE"/>
    <w:rsid w:val="18374ABC"/>
    <w:rsid w:val="1839278F"/>
    <w:rsid w:val="185D433B"/>
    <w:rsid w:val="186C4845"/>
    <w:rsid w:val="187304DB"/>
    <w:rsid w:val="18751DAB"/>
    <w:rsid w:val="187667EA"/>
    <w:rsid w:val="18865179"/>
    <w:rsid w:val="188862E0"/>
    <w:rsid w:val="188D5D02"/>
    <w:rsid w:val="18984FB8"/>
    <w:rsid w:val="18AD2705"/>
    <w:rsid w:val="18AD7C2F"/>
    <w:rsid w:val="18B52F39"/>
    <w:rsid w:val="18E64506"/>
    <w:rsid w:val="18F909A0"/>
    <w:rsid w:val="190637C6"/>
    <w:rsid w:val="19556888"/>
    <w:rsid w:val="195E3860"/>
    <w:rsid w:val="196540C9"/>
    <w:rsid w:val="1977172B"/>
    <w:rsid w:val="19780B5E"/>
    <w:rsid w:val="197B143C"/>
    <w:rsid w:val="19836858"/>
    <w:rsid w:val="19AD0056"/>
    <w:rsid w:val="19AE758E"/>
    <w:rsid w:val="19D747CE"/>
    <w:rsid w:val="19DE1DB5"/>
    <w:rsid w:val="19E70B32"/>
    <w:rsid w:val="1A1618FD"/>
    <w:rsid w:val="1A1749CE"/>
    <w:rsid w:val="1A2E5989"/>
    <w:rsid w:val="1A413E9F"/>
    <w:rsid w:val="1A687111"/>
    <w:rsid w:val="1A8D1CA5"/>
    <w:rsid w:val="1A9A2753"/>
    <w:rsid w:val="1A9D572E"/>
    <w:rsid w:val="1A9E42C9"/>
    <w:rsid w:val="1AB915C2"/>
    <w:rsid w:val="1AC57D09"/>
    <w:rsid w:val="1AD67107"/>
    <w:rsid w:val="1AE46A89"/>
    <w:rsid w:val="1AFB5035"/>
    <w:rsid w:val="1AFC4941"/>
    <w:rsid w:val="1B221755"/>
    <w:rsid w:val="1B7125A4"/>
    <w:rsid w:val="1B822EEF"/>
    <w:rsid w:val="1BB03DD5"/>
    <w:rsid w:val="1BB075ED"/>
    <w:rsid w:val="1BDD3D8D"/>
    <w:rsid w:val="1C0C233A"/>
    <w:rsid w:val="1C116304"/>
    <w:rsid w:val="1C4A1398"/>
    <w:rsid w:val="1C50750E"/>
    <w:rsid w:val="1C5373FB"/>
    <w:rsid w:val="1C702168"/>
    <w:rsid w:val="1C7A5ED4"/>
    <w:rsid w:val="1C7F08BF"/>
    <w:rsid w:val="1C976B83"/>
    <w:rsid w:val="1CB04172"/>
    <w:rsid w:val="1CC347A5"/>
    <w:rsid w:val="1CC75198"/>
    <w:rsid w:val="1CD13E70"/>
    <w:rsid w:val="1CD272CA"/>
    <w:rsid w:val="1D0B1B22"/>
    <w:rsid w:val="1D1D4B84"/>
    <w:rsid w:val="1D2A5AEA"/>
    <w:rsid w:val="1D2B6E1E"/>
    <w:rsid w:val="1D700FCD"/>
    <w:rsid w:val="1D7113A4"/>
    <w:rsid w:val="1D86516C"/>
    <w:rsid w:val="1D8F7B8B"/>
    <w:rsid w:val="1DA049CC"/>
    <w:rsid w:val="1DA509C1"/>
    <w:rsid w:val="1DB24745"/>
    <w:rsid w:val="1DCC3D54"/>
    <w:rsid w:val="1DF41D60"/>
    <w:rsid w:val="1DF64E62"/>
    <w:rsid w:val="1E2F0FEE"/>
    <w:rsid w:val="1E3556B4"/>
    <w:rsid w:val="1E3C53E6"/>
    <w:rsid w:val="1E3F343F"/>
    <w:rsid w:val="1E4D0974"/>
    <w:rsid w:val="1E5B6047"/>
    <w:rsid w:val="1E5E526B"/>
    <w:rsid w:val="1E86491E"/>
    <w:rsid w:val="1E8C6DC8"/>
    <w:rsid w:val="1EF00BFB"/>
    <w:rsid w:val="1F2531EC"/>
    <w:rsid w:val="1F2664AB"/>
    <w:rsid w:val="1F273BD6"/>
    <w:rsid w:val="1F3D4109"/>
    <w:rsid w:val="1F417966"/>
    <w:rsid w:val="1F433360"/>
    <w:rsid w:val="1F5967DC"/>
    <w:rsid w:val="1F5F3023"/>
    <w:rsid w:val="1F6A3DBD"/>
    <w:rsid w:val="1F9A0CD4"/>
    <w:rsid w:val="1F9C3CE5"/>
    <w:rsid w:val="1FB911F9"/>
    <w:rsid w:val="1FE54A89"/>
    <w:rsid w:val="1FF25535"/>
    <w:rsid w:val="1FF86E7A"/>
    <w:rsid w:val="1FFA0F2F"/>
    <w:rsid w:val="202F3248"/>
    <w:rsid w:val="2040020A"/>
    <w:rsid w:val="205E18B8"/>
    <w:rsid w:val="206D431C"/>
    <w:rsid w:val="20E349D9"/>
    <w:rsid w:val="20E4131C"/>
    <w:rsid w:val="20FB1A7C"/>
    <w:rsid w:val="21143557"/>
    <w:rsid w:val="212448E2"/>
    <w:rsid w:val="21285356"/>
    <w:rsid w:val="213B04B8"/>
    <w:rsid w:val="21437267"/>
    <w:rsid w:val="21497080"/>
    <w:rsid w:val="215D5111"/>
    <w:rsid w:val="21611BFC"/>
    <w:rsid w:val="216962A2"/>
    <w:rsid w:val="216D7CC9"/>
    <w:rsid w:val="217D2695"/>
    <w:rsid w:val="2199135F"/>
    <w:rsid w:val="219E5544"/>
    <w:rsid w:val="21BA54E2"/>
    <w:rsid w:val="21BA6BBE"/>
    <w:rsid w:val="21BF78E5"/>
    <w:rsid w:val="21D15257"/>
    <w:rsid w:val="21D67CA8"/>
    <w:rsid w:val="21DA4A30"/>
    <w:rsid w:val="21DA6D29"/>
    <w:rsid w:val="223E3305"/>
    <w:rsid w:val="225268EF"/>
    <w:rsid w:val="22526D93"/>
    <w:rsid w:val="22854145"/>
    <w:rsid w:val="229F623A"/>
    <w:rsid w:val="22A657F1"/>
    <w:rsid w:val="22B65BBB"/>
    <w:rsid w:val="22F71005"/>
    <w:rsid w:val="230438E6"/>
    <w:rsid w:val="230A4D7B"/>
    <w:rsid w:val="23134AA9"/>
    <w:rsid w:val="232D7A69"/>
    <w:rsid w:val="23371421"/>
    <w:rsid w:val="235D565A"/>
    <w:rsid w:val="236F56AA"/>
    <w:rsid w:val="23743DCB"/>
    <w:rsid w:val="238520FA"/>
    <w:rsid w:val="238F72F4"/>
    <w:rsid w:val="2393079A"/>
    <w:rsid w:val="239F07D6"/>
    <w:rsid w:val="23A97A3C"/>
    <w:rsid w:val="23B47D47"/>
    <w:rsid w:val="23BA7ADC"/>
    <w:rsid w:val="23CE64B8"/>
    <w:rsid w:val="23EA7F24"/>
    <w:rsid w:val="24092C7F"/>
    <w:rsid w:val="24213902"/>
    <w:rsid w:val="2430607C"/>
    <w:rsid w:val="24390B68"/>
    <w:rsid w:val="24567F39"/>
    <w:rsid w:val="246404F6"/>
    <w:rsid w:val="24BA1523"/>
    <w:rsid w:val="24BA74D7"/>
    <w:rsid w:val="24CE2BD8"/>
    <w:rsid w:val="24DB69A1"/>
    <w:rsid w:val="24DF1C4B"/>
    <w:rsid w:val="24FD445C"/>
    <w:rsid w:val="251A6C29"/>
    <w:rsid w:val="25446A2B"/>
    <w:rsid w:val="254C7ACA"/>
    <w:rsid w:val="255B559C"/>
    <w:rsid w:val="256A559A"/>
    <w:rsid w:val="257D3E4B"/>
    <w:rsid w:val="25A86BED"/>
    <w:rsid w:val="25BC2B36"/>
    <w:rsid w:val="25CA35E1"/>
    <w:rsid w:val="26007DB7"/>
    <w:rsid w:val="26055348"/>
    <w:rsid w:val="262262AC"/>
    <w:rsid w:val="26370125"/>
    <w:rsid w:val="26380246"/>
    <w:rsid w:val="264152C3"/>
    <w:rsid w:val="26433116"/>
    <w:rsid w:val="2649522E"/>
    <w:rsid w:val="265626AA"/>
    <w:rsid w:val="265C39AD"/>
    <w:rsid w:val="26671C35"/>
    <w:rsid w:val="266C1DB8"/>
    <w:rsid w:val="26775AA0"/>
    <w:rsid w:val="267D11FD"/>
    <w:rsid w:val="26816DB2"/>
    <w:rsid w:val="2691491A"/>
    <w:rsid w:val="26A13CC3"/>
    <w:rsid w:val="26D10E3C"/>
    <w:rsid w:val="271900C7"/>
    <w:rsid w:val="271D38C6"/>
    <w:rsid w:val="275101AC"/>
    <w:rsid w:val="27522B75"/>
    <w:rsid w:val="27594544"/>
    <w:rsid w:val="275C5761"/>
    <w:rsid w:val="27617CF9"/>
    <w:rsid w:val="27667284"/>
    <w:rsid w:val="27A96162"/>
    <w:rsid w:val="27B4134C"/>
    <w:rsid w:val="27C202E7"/>
    <w:rsid w:val="27C6721A"/>
    <w:rsid w:val="27CF3668"/>
    <w:rsid w:val="27D358DE"/>
    <w:rsid w:val="27D45AF5"/>
    <w:rsid w:val="27DC6F4A"/>
    <w:rsid w:val="27FF542D"/>
    <w:rsid w:val="28045D0D"/>
    <w:rsid w:val="281A22EF"/>
    <w:rsid w:val="281D29C9"/>
    <w:rsid w:val="28585F82"/>
    <w:rsid w:val="28622DD1"/>
    <w:rsid w:val="2877710E"/>
    <w:rsid w:val="28831D17"/>
    <w:rsid w:val="288B0288"/>
    <w:rsid w:val="28922F8B"/>
    <w:rsid w:val="28B67C76"/>
    <w:rsid w:val="28B77570"/>
    <w:rsid w:val="28D95CAC"/>
    <w:rsid w:val="28DA755A"/>
    <w:rsid w:val="28DE6687"/>
    <w:rsid w:val="28EE4438"/>
    <w:rsid w:val="28F707F1"/>
    <w:rsid w:val="28FE7F50"/>
    <w:rsid w:val="29047905"/>
    <w:rsid w:val="291927CA"/>
    <w:rsid w:val="29211CD8"/>
    <w:rsid w:val="2939724C"/>
    <w:rsid w:val="296D1345"/>
    <w:rsid w:val="2987527D"/>
    <w:rsid w:val="29895D04"/>
    <w:rsid w:val="29901F22"/>
    <w:rsid w:val="29BE0E7D"/>
    <w:rsid w:val="29C91308"/>
    <w:rsid w:val="29E1567A"/>
    <w:rsid w:val="29EB360B"/>
    <w:rsid w:val="29ED405A"/>
    <w:rsid w:val="2A124D04"/>
    <w:rsid w:val="2A236057"/>
    <w:rsid w:val="2A3870A0"/>
    <w:rsid w:val="2A433664"/>
    <w:rsid w:val="2A4968A4"/>
    <w:rsid w:val="2A4B7F91"/>
    <w:rsid w:val="2A667693"/>
    <w:rsid w:val="2A726D4F"/>
    <w:rsid w:val="2A7C0DCA"/>
    <w:rsid w:val="2A8D152F"/>
    <w:rsid w:val="2AB95187"/>
    <w:rsid w:val="2ADD1A99"/>
    <w:rsid w:val="2B12289E"/>
    <w:rsid w:val="2B127CDB"/>
    <w:rsid w:val="2B196103"/>
    <w:rsid w:val="2B1D43B2"/>
    <w:rsid w:val="2B827072"/>
    <w:rsid w:val="2B863437"/>
    <w:rsid w:val="2B981285"/>
    <w:rsid w:val="2BB072A6"/>
    <w:rsid w:val="2BB54C84"/>
    <w:rsid w:val="2BBF03F7"/>
    <w:rsid w:val="2BDC36EF"/>
    <w:rsid w:val="2BE47A62"/>
    <w:rsid w:val="2C0737BE"/>
    <w:rsid w:val="2C0F7744"/>
    <w:rsid w:val="2C134EB7"/>
    <w:rsid w:val="2C403127"/>
    <w:rsid w:val="2C6F5D23"/>
    <w:rsid w:val="2C783D2A"/>
    <w:rsid w:val="2C8A253A"/>
    <w:rsid w:val="2CB7134B"/>
    <w:rsid w:val="2D02154F"/>
    <w:rsid w:val="2D0D3502"/>
    <w:rsid w:val="2D216792"/>
    <w:rsid w:val="2D637755"/>
    <w:rsid w:val="2D651CC5"/>
    <w:rsid w:val="2D7E2124"/>
    <w:rsid w:val="2D851F49"/>
    <w:rsid w:val="2D9429EE"/>
    <w:rsid w:val="2DC31587"/>
    <w:rsid w:val="2DD1412E"/>
    <w:rsid w:val="2DDC1960"/>
    <w:rsid w:val="2DEA661A"/>
    <w:rsid w:val="2DF4794A"/>
    <w:rsid w:val="2E192B23"/>
    <w:rsid w:val="2E37566B"/>
    <w:rsid w:val="2E48655B"/>
    <w:rsid w:val="2E6E3F77"/>
    <w:rsid w:val="2E7D0ECF"/>
    <w:rsid w:val="2E926128"/>
    <w:rsid w:val="2E963E49"/>
    <w:rsid w:val="2EA52FBF"/>
    <w:rsid w:val="2EB655AA"/>
    <w:rsid w:val="2EB94BE3"/>
    <w:rsid w:val="2EBF1AE1"/>
    <w:rsid w:val="2EDF7B15"/>
    <w:rsid w:val="2EF929D3"/>
    <w:rsid w:val="2F2D4982"/>
    <w:rsid w:val="2F6B1F0B"/>
    <w:rsid w:val="2F810C81"/>
    <w:rsid w:val="2F8616DB"/>
    <w:rsid w:val="2FCB5C56"/>
    <w:rsid w:val="301F7775"/>
    <w:rsid w:val="3030609F"/>
    <w:rsid w:val="304776D8"/>
    <w:rsid w:val="305A15A5"/>
    <w:rsid w:val="307D2652"/>
    <w:rsid w:val="307F6022"/>
    <w:rsid w:val="30956D3E"/>
    <w:rsid w:val="309F2276"/>
    <w:rsid w:val="30AA7F2A"/>
    <w:rsid w:val="30C31636"/>
    <w:rsid w:val="30CC5050"/>
    <w:rsid w:val="30ED6707"/>
    <w:rsid w:val="31330381"/>
    <w:rsid w:val="31346A46"/>
    <w:rsid w:val="313B5160"/>
    <w:rsid w:val="3144238B"/>
    <w:rsid w:val="3155340D"/>
    <w:rsid w:val="31750779"/>
    <w:rsid w:val="31824D07"/>
    <w:rsid w:val="31B210F5"/>
    <w:rsid w:val="31BD156A"/>
    <w:rsid w:val="31C03948"/>
    <w:rsid w:val="31C263A8"/>
    <w:rsid w:val="31C33014"/>
    <w:rsid w:val="31EC58AD"/>
    <w:rsid w:val="31F74EC8"/>
    <w:rsid w:val="31F83382"/>
    <w:rsid w:val="320B3780"/>
    <w:rsid w:val="3225518A"/>
    <w:rsid w:val="323B2690"/>
    <w:rsid w:val="324019F3"/>
    <w:rsid w:val="32707C6E"/>
    <w:rsid w:val="327A5DAD"/>
    <w:rsid w:val="32AA10E2"/>
    <w:rsid w:val="32AB4858"/>
    <w:rsid w:val="32B0428B"/>
    <w:rsid w:val="32D93798"/>
    <w:rsid w:val="32E265AB"/>
    <w:rsid w:val="32F16D5A"/>
    <w:rsid w:val="32F7786D"/>
    <w:rsid w:val="331C387F"/>
    <w:rsid w:val="331D2BF1"/>
    <w:rsid w:val="3329585E"/>
    <w:rsid w:val="33531206"/>
    <w:rsid w:val="335E253F"/>
    <w:rsid w:val="337358E1"/>
    <w:rsid w:val="338F2249"/>
    <w:rsid w:val="339F582C"/>
    <w:rsid w:val="33AD56D9"/>
    <w:rsid w:val="33C32A59"/>
    <w:rsid w:val="33DF6874"/>
    <w:rsid w:val="33E95EF8"/>
    <w:rsid w:val="33F70E56"/>
    <w:rsid w:val="3412197F"/>
    <w:rsid w:val="341C6A70"/>
    <w:rsid w:val="34274168"/>
    <w:rsid w:val="344814BE"/>
    <w:rsid w:val="345705C3"/>
    <w:rsid w:val="34C307E8"/>
    <w:rsid w:val="34C51751"/>
    <w:rsid w:val="35070CC8"/>
    <w:rsid w:val="35087985"/>
    <w:rsid w:val="3537056C"/>
    <w:rsid w:val="356F4419"/>
    <w:rsid w:val="3573780C"/>
    <w:rsid w:val="35774ACD"/>
    <w:rsid w:val="35782D1B"/>
    <w:rsid w:val="359D245F"/>
    <w:rsid w:val="35BF2EBE"/>
    <w:rsid w:val="35D55C5D"/>
    <w:rsid w:val="35DD6CF6"/>
    <w:rsid w:val="362B5C00"/>
    <w:rsid w:val="36403852"/>
    <w:rsid w:val="366205E8"/>
    <w:rsid w:val="368D3574"/>
    <w:rsid w:val="36AF5533"/>
    <w:rsid w:val="36BF6062"/>
    <w:rsid w:val="36CD2F4D"/>
    <w:rsid w:val="36D00FEC"/>
    <w:rsid w:val="36D41A27"/>
    <w:rsid w:val="36D91D96"/>
    <w:rsid w:val="36DA3FD8"/>
    <w:rsid w:val="36F72DD8"/>
    <w:rsid w:val="36FE2C8E"/>
    <w:rsid w:val="370E4E11"/>
    <w:rsid w:val="3755234F"/>
    <w:rsid w:val="377665A6"/>
    <w:rsid w:val="378028EC"/>
    <w:rsid w:val="378712E6"/>
    <w:rsid w:val="37B9646A"/>
    <w:rsid w:val="37CC3320"/>
    <w:rsid w:val="37D124BC"/>
    <w:rsid w:val="37E43585"/>
    <w:rsid w:val="37EE0411"/>
    <w:rsid w:val="37F07C5A"/>
    <w:rsid w:val="381A7686"/>
    <w:rsid w:val="38393CD6"/>
    <w:rsid w:val="383F30F4"/>
    <w:rsid w:val="384F0AC1"/>
    <w:rsid w:val="386C4ED9"/>
    <w:rsid w:val="38885051"/>
    <w:rsid w:val="38994A9A"/>
    <w:rsid w:val="38F369B7"/>
    <w:rsid w:val="38FF2B4B"/>
    <w:rsid w:val="39030DD3"/>
    <w:rsid w:val="390E672E"/>
    <w:rsid w:val="39370FB0"/>
    <w:rsid w:val="39431E0E"/>
    <w:rsid w:val="396E6051"/>
    <w:rsid w:val="39930717"/>
    <w:rsid w:val="399A1BB3"/>
    <w:rsid w:val="39F27D6A"/>
    <w:rsid w:val="39F56171"/>
    <w:rsid w:val="39FC10E7"/>
    <w:rsid w:val="3A041FC9"/>
    <w:rsid w:val="3A1C0C87"/>
    <w:rsid w:val="3A233A2C"/>
    <w:rsid w:val="3A2F4BC7"/>
    <w:rsid w:val="3A3E4CD7"/>
    <w:rsid w:val="3A52502F"/>
    <w:rsid w:val="3A5A592C"/>
    <w:rsid w:val="3A61273C"/>
    <w:rsid w:val="3A6C1048"/>
    <w:rsid w:val="3AB15C7F"/>
    <w:rsid w:val="3AB62E3E"/>
    <w:rsid w:val="3ABF5F53"/>
    <w:rsid w:val="3AD13054"/>
    <w:rsid w:val="3AE10172"/>
    <w:rsid w:val="3AF36771"/>
    <w:rsid w:val="3B01150B"/>
    <w:rsid w:val="3B250829"/>
    <w:rsid w:val="3B45485A"/>
    <w:rsid w:val="3B4A651D"/>
    <w:rsid w:val="3B4F0A82"/>
    <w:rsid w:val="3B5F5805"/>
    <w:rsid w:val="3B631C06"/>
    <w:rsid w:val="3B7E3A29"/>
    <w:rsid w:val="3B804449"/>
    <w:rsid w:val="3B986A97"/>
    <w:rsid w:val="3B9961C7"/>
    <w:rsid w:val="3B9C7D94"/>
    <w:rsid w:val="3BCD6A78"/>
    <w:rsid w:val="3BD02BF4"/>
    <w:rsid w:val="3BDB4490"/>
    <w:rsid w:val="3C301271"/>
    <w:rsid w:val="3C362BB4"/>
    <w:rsid w:val="3C6E6554"/>
    <w:rsid w:val="3C731308"/>
    <w:rsid w:val="3C771EDA"/>
    <w:rsid w:val="3C940335"/>
    <w:rsid w:val="3CC12298"/>
    <w:rsid w:val="3CCC25AC"/>
    <w:rsid w:val="3CF61099"/>
    <w:rsid w:val="3CFF62A6"/>
    <w:rsid w:val="3D03667E"/>
    <w:rsid w:val="3D217D8A"/>
    <w:rsid w:val="3D2E5372"/>
    <w:rsid w:val="3D327A6C"/>
    <w:rsid w:val="3D3D1FAC"/>
    <w:rsid w:val="3D462494"/>
    <w:rsid w:val="3D4E7647"/>
    <w:rsid w:val="3D706E22"/>
    <w:rsid w:val="3D741FD2"/>
    <w:rsid w:val="3D8449DB"/>
    <w:rsid w:val="3D8507A5"/>
    <w:rsid w:val="3D863423"/>
    <w:rsid w:val="3DA45035"/>
    <w:rsid w:val="3DB45872"/>
    <w:rsid w:val="3DD6764E"/>
    <w:rsid w:val="3DF40B0B"/>
    <w:rsid w:val="3DF5586F"/>
    <w:rsid w:val="3DFC5046"/>
    <w:rsid w:val="3E26177F"/>
    <w:rsid w:val="3E317304"/>
    <w:rsid w:val="3E4549BE"/>
    <w:rsid w:val="3E743BCA"/>
    <w:rsid w:val="3ED31CBA"/>
    <w:rsid w:val="3EE7772E"/>
    <w:rsid w:val="3F091E23"/>
    <w:rsid w:val="3F1E65AB"/>
    <w:rsid w:val="3F3C24CC"/>
    <w:rsid w:val="3F6102C4"/>
    <w:rsid w:val="3F795A27"/>
    <w:rsid w:val="3FAB1701"/>
    <w:rsid w:val="3FAB4E1C"/>
    <w:rsid w:val="3FDC34E2"/>
    <w:rsid w:val="3FF259D2"/>
    <w:rsid w:val="400666AC"/>
    <w:rsid w:val="400D7E42"/>
    <w:rsid w:val="401F658B"/>
    <w:rsid w:val="40295D2D"/>
    <w:rsid w:val="40320190"/>
    <w:rsid w:val="40435F25"/>
    <w:rsid w:val="404536EC"/>
    <w:rsid w:val="4065726D"/>
    <w:rsid w:val="407A7DD5"/>
    <w:rsid w:val="40A47377"/>
    <w:rsid w:val="40A63A1D"/>
    <w:rsid w:val="40BC0E1D"/>
    <w:rsid w:val="40C014AA"/>
    <w:rsid w:val="40CF4EBC"/>
    <w:rsid w:val="40E01F6F"/>
    <w:rsid w:val="410E23AE"/>
    <w:rsid w:val="411103A7"/>
    <w:rsid w:val="412B1829"/>
    <w:rsid w:val="41571A34"/>
    <w:rsid w:val="416F5DBB"/>
    <w:rsid w:val="417326E4"/>
    <w:rsid w:val="41776131"/>
    <w:rsid w:val="419340A5"/>
    <w:rsid w:val="41DA04BD"/>
    <w:rsid w:val="41E10EE3"/>
    <w:rsid w:val="41F97273"/>
    <w:rsid w:val="42316339"/>
    <w:rsid w:val="423361D9"/>
    <w:rsid w:val="423A0306"/>
    <w:rsid w:val="4246182E"/>
    <w:rsid w:val="425A4F4D"/>
    <w:rsid w:val="425B41E3"/>
    <w:rsid w:val="425E345B"/>
    <w:rsid w:val="42683161"/>
    <w:rsid w:val="426E3C4F"/>
    <w:rsid w:val="428C73C2"/>
    <w:rsid w:val="42910AAE"/>
    <w:rsid w:val="42AC0B39"/>
    <w:rsid w:val="42B042F8"/>
    <w:rsid w:val="42B47418"/>
    <w:rsid w:val="42BB22CE"/>
    <w:rsid w:val="42BB794A"/>
    <w:rsid w:val="42E06904"/>
    <w:rsid w:val="430C4168"/>
    <w:rsid w:val="430D366A"/>
    <w:rsid w:val="430E35AB"/>
    <w:rsid w:val="431779E5"/>
    <w:rsid w:val="4328070F"/>
    <w:rsid w:val="43286300"/>
    <w:rsid w:val="43382CAE"/>
    <w:rsid w:val="438B0105"/>
    <w:rsid w:val="438F4EDB"/>
    <w:rsid w:val="43A037FB"/>
    <w:rsid w:val="43A16CA2"/>
    <w:rsid w:val="43B16310"/>
    <w:rsid w:val="43BA7AC1"/>
    <w:rsid w:val="43C75554"/>
    <w:rsid w:val="43D400AE"/>
    <w:rsid w:val="43DB0C3F"/>
    <w:rsid w:val="43E27142"/>
    <w:rsid w:val="43EE14B7"/>
    <w:rsid w:val="43F3556D"/>
    <w:rsid w:val="43F374F3"/>
    <w:rsid w:val="44143FD2"/>
    <w:rsid w:val="44175555"/>
    <w:rsid w:val="44177971"/>
    <w:rsid w:val="442725AB"/>
    <w:rsid w:val="442C3063"/>
    <w:rsid w:val="444338C7"/>
    <w:rsid w:val="44A304EA"/>
    <w:rsid w:val="44AA3B0F"/>
    <w:rsid w:val="44AC08E6"/>
    <w:rsid w:val="44D20A21"/>
    <w:rsid w:val="44D54F00"/>
    <w:rsid w:val="44DD3063"/>
    <w:rsid w:val="44E006F2"/>
    <w:rsid w:val="44E55E3F"/>
    <w:rsid w:val="44F51816"/>
    <w:rsid w:val="450C2662"/>
    <w:rsid w:val="45194A20"/>
    <w:rsid w:val="45311131"/>
    <w:rsid w:val="453258CB"/>
    <w:rsid w:val="45337F1C"/>
    <w:rsid w:val="457A1CC6"/>
    <w:rsid w:val="457F7AF7"/>
    <w:rsid w:val="45855C65"/>
    <w:rsid w:val="45920C92"/>
    <w:rsid w:val="45BE2844"/>
    <w:rsid w:val="45D84CE9"/>
    <w:rsid w:val="45DE1F3B"/>
    <w:rsid w:val="45EB24CE"/>
    <w:rsid w:val="45F06D5B"/>
    <w:rsid w:val="45F57B04"/>
    <w:rsid w:val="460A1652"/>
    <w:rsid w:val="461A6ECB"/>
    <w:rsid w:val="461C4EE2"/>
    <w:rsid w:val="461E0A94"/>
    <w:rsid w:val="46293F74"/>
    <w:rsid w:val="464D1BE5"/>
    <w:rsid w:val="467710C2"/>
    <w:rsid w:val="46842248"/>
    <w:rsid w:val="469051BA"/>
    <w:rsid w:val="46AC0E3E"/>
    <w:rsid w:val="46B92462"/>
    <w:rsid w:val="46D83644"/>
    <w:rsid w:val="46E72CDA"/>
    <w:rsid w:val="470E292C"/>
    <w:rsid w:val="47195671"/>
    <w:rsid w:val="47216183"/>
    <w:rsid w:val="4760624E"/>
    <w:rsid w:val="47676738"/>
    <w:rsid w:val="476D490A"/>
    <w:rsid w:val="476E08E7"/>
    <w:rsid w:val="478261F0"/>
    <w:rsid w:val="479B589F"/>
    <w:rsid w:val="47A026CC"/>
    <w:rsid w:val="47B737D8"/>
    <w:rsid w:val="47DE1AF1"/>
    <w:rsid w:val="47E72139"/>
    <w:rsid w:val="47F11951"/>
    <w:rsid w:val="480C045A"/>
    <w:rsid w:val="48284E38"/>
    <w:rsid w:val="48301595"/>
    <w:rsid w:val="484C2771"/>
    <w:rsid w:val="488C5EE9"/>
    <w:rsid w:val="48B66AD1"/>
    <w:rsid w:val="48C96E24"/>
    <w:rsid w:val="48D449A8"/>
    <w:rsid w:val="48DC7BA8"/>
    <w:rsid w:val="48E475BA"/>
    <w:rsid w:val="48ED3D3C"/>
    <w:rsid w:val="48F2380E"/>
    <w:rsid w:val="49390E17"/>
    <w:rsid w:val="494A3105"/>
    <w:rsid w:val="495A19EE"/>
    <w:rsid w:val="49607C2F"/>
    <w:rsid w:val="49750970"/>
    <w:rsid w:val="49891470"/>
    <w:rsid w:val="49BB490B"/>
    <w:rsid w:val="49D37B14"/>
    <w:rsid w:val="49E02935"/>
    <w:rsid w:val="49E51E23"/>
    <w:rsid w:val="4A0D2757"/>
    <w:rsid w:val="4A712E50"/>
    <w:rsid w:val="4A7900B6"/>
    <w:rsid w:val="4A7C490E"/>
    <w:rsid w:val="4A8E2C4D"/>
    <w:rsid w:val="4A914F7D"/>
    <w:rsid w:val="4A9955E1"/>
    <w:rsid w:val="4AC22315"/>
    <w:rsid w:val="4AC72A5C"/>
    <w:rsid w:val="4AC918BA"/>
    <w:rsid w:val="4AEB4399"/>
    <w:rsid w:val="4B3E7C1D"/>
    <w:rsid w:val="4B745121"/>
    <w:rsid w:val="4BA116B0"/>
    <w:rsid w:val="4BA8649B"/>
    <w:rsid w:val="4BEF1F7C"/>
    <w:rsid w:val="4BF15BF3"/>
    <w:rsid w:val="4BF31D5D"/>
    <w:rsid w:val="4BF61CFC"/>
    <w:rsid w:val="4C0B1D24"/>
    <w:rsid w:val="4C0C7D5F"/>
    <w:rsid w:val="4C69194A"/>
    <w:rsid w:val="4C6E2036"/>
    <w:rsid w:val="4C76628B"/>
    <w:rsid w:val="4C857406"/>
    <w:rsid w:val="4C8D0F04"/>
    <w:rsid w:val="4CBA1A8D"/>
    <w:rsid w:val="4CD952F7"/>
    <w:rsid w:val="4CDF5F06"/>
    <w:rsid w:val="4CEA6845"/>
    <w:rsid w:val="4D123A29"/>
    <w:rsid w:val="4D2D0542"/>
    <w:rsid w:val="4D9220EA"/>
    <w:rsid w:val="4D9E3572"/>
    <w:rsid w:val="4D9F4635"/>
    <w:rsid w:val="4DB419F8"/>
    <w:rsid w:val="4DC04578"/>
    <w:rsid w:val="4DDE1A88"/>
    <w:rsid w:val="4DE301DB"/>
    <w:rsid w:val="4DF05A82"/>
    <w:rsid w:val="4DFD2078"/>
    <w:rsid w:val="4E0608F3"/>
    <w:rsid w:val="4E140A73"/>
    <w:rsid w:val="4E433D7C"/>
    <w:rsid w:val="4E495899"/>
    <w:rsid w:val="4E5636D6"/>
    <w:rsid w:val="4E5B6EC8"/>
    <w:rsid w:val="4E6E16A7"/>
    <w:rsid w:val="4ECF5E6C"/>
    <w:rsid w:val="4EE11AF1"/>
    <w:rsid w:val="4EF635C9"/>
    <w:rsid w:val="4F050242"/>
    <w:rsid w:val="4F09373D"/>
    <w:rsid w:val="4F3942B3"/>
    <w:rsid w:val="4FDB6CEB"/>
    <w:rsid w:val="4FF70215"/>
    <w:rsid w:val="4FF944F4"/>
    <w:rsid w:val="4FFB5635"/>
    <w:rsid w:val="500677AE"/>
    <w:rsid w:val="500D1EF6"/>
    <w:rsid w:val="502E23DA"/>
    <w:rsid w:val="502E3C41"/>
    <w:rsid w:val="50310E52"/>
    <w:rsid w:val="50475B14"/>
    <w:rsid w:val="50C10984"/>
    <w:rsid w:val="50D5673C"/>
    <w:rsid w:val="50EF0080"/>
    <w:rsid w:val="51092CD2"/>
    <w:rsid w:val="510F6AF1"/>
    <w:rsid w:val="51106C4D"/>
    <w:rsid w:val="51227992"/>
    <w:rsid w:val="51337054"/>
    <w:rsid w:val="5154486E"/>
    <w:rsid w:val="51861AD7"/>
    <w:rsid w:val="51863C87"/>
    <w:rsid w:val="519820F5"/>
    <w:rsid w:val="519A4019"/>
    <w:rsid w:val="519E3B5B"/>
    <w:rsid w:val="51A307B4"/>
    <w:rsid w:val="51A8179F"/>
    <w:rsid w:val="51BF0503"/>
    <w:rsid w:val="51CC1163"/>
    <w:rsid w:val="51E47343"/>
    <w:rsid w:val="51ED4486"/>
    <w:rsid w:val="52035A82"/>
    <w:rsid w:val="520D2ED4"/>
    <w:rsid w:val="521D5C74"/>
    <w:rsid w:val="52344761"/>
    <w:rsid w:val="523E48F5"/>
    <w:rsid w:val="52483E7A"/>
    <w:rsid w:val="524D5185"/>
    <w:rsid w:val="525873F1"/>
    <w:rsid w:val="525E29CA"/>
    <w:rsid w:val="526D522C"/>
    <w:rsid w:val="528B3EA9"/>
    <w:rsid w:val="52966F15"/>
    <w:rsid w:val="52C34292"/>
    <w:rsid w:val="52C51FC1"/>
    <w:rsid w:val="52D8349F"/>
    <w:rsid w:val="52DB5AB7"/>
    <w:rsid w:val="52E229E3"/>
    <w:rsid w:val="53216DDF"/>
    <w:rsid w:val="533F282C"/>
    <w:rsid w:val="53500004"/>
    <w:rsid w:val="5385199B"/>
    <w:rsid w:val="53A358B2"/>
    <w:rsid w:val="53B14C59"/>
    <w:rsid w:val="53DA6EA3"/>
    <w:rsid w:val="53DF0AFC"/>
    <w:rsid w:val="53F25C30"/>
    <w:rsid w:val="54122083"/>
    <w:rsid w:val="542E4B6D"/>
    <w:rsid w:val="542F4BE7"/>
    <w:rsid w:val="54320FED"/>
    <w:rsid w:val="543933C6"/>
    <w:rsid w:val="544A5725"/>
    <w:rsid w:val="544E0B7D"/>
    <w:rsid w:val="544F7EC6"/>
    <w:rsid w:val="54901960"/>
    <w:rsid w:val="549D7405"/>
    <w:rsid w:val="54A96B53"/>
    <w:rsid w:val="54AF4EAA"/>
    <w:rsid w:val="54B533F9"/>
    <w:rsid w:val="54B9630E"/>
    <w:rsid w:val="54FF143C"/>
    <w:rsid w:val="55082273"/>
    <w:rsid w:val="5520050A"/>
    <w:rsid w:val="553623BF"/>
    <w:rsid w:val="55366D58"/>
    <w:rsid w:val="555D6660"/>
    <w:rsid w:val="555E3418"/>
    <w:rsid w:val="556160DC"/>
    <w:rsid w:val="556265EE"/>
    <w:rsid w:val="55761A89"/>
    <w:rsid w:val="557778DF"/>
    <w:rsid w:val="5580115F"/>
    <w:rsid w:val="558D11B5"/>
    <w:rsid w:val="558E1982"/>
    <w:rsid w:val="55AC7FEA"/>
    <w:rsid w:val="55B20EBD"/>
    <w:rsid w:val="55D13870"/>
    <w:rsid w:val="55D31939"/>
    <w:rsid w:val="55F50B47"/>
    <w:rsid w:val="562614A3"/>
    <w:rsid w:val="565B4D79"/>
    <w:rsid w:val="56726084"/>
    <w:rsid w:val="569330E9"/>
    <w:rsid w:val="56993E17"/>
    <w:rsid w:val="56B34F86"/>
    <w:rsid w:val="56B36C67"/>
    <w:rsid w:val="56B96CA9"/>
    <w:rsid w:val="56CB0FAC"/>
    <w:rsid w:val="56EB0091"/>
    <w:rsid w:val="56EC5215"/>
    <w:rsid w:val="56FD0920"/>
    <w:rsid w:val="57065573"/>
    <w:rsid w:val="570E4570"/>
    <w:rsid w:val="5755309E"/>
    <w:rsid w:val="57844582"/>
    <w:rsid w:val="57B0234D"/>
    <w:rsid w:val="57C53019"/>
    <w:rsid w:val="57C54747"/>
    <w:rsid w:val="57D569F8"/>
    <w:rsid w:val="581E0044"/>
    <w:rsid w:val="584C0C40"/>
    <w:rsid w:val="584D607E"/>
    <w:rsid w:val="586537F9"/>
    <w:rsid w:val="58AD6ABC"/>
    <w:rsid w:val="58D8704C"/>
    <w:rsid w:val="58DC76CD"/>
    <w:rsid w:val="58ED4EED"/>
    <w:rsid w:val="58F86926"/>
    <w:rsid w:val="590B7B48"/>
    <w:rsid w:val="59154C2C"/>
    <w:rsid w:val="591A1965"/>
    <w:rsid w:val="59330936"/>
    <w:rsid w:val="595F4E98"/>
    <w:rsid w:val="59694525"/>
    <w:rsid w:val="59780140"/>
    <w:rsid w:val="598F03E2"/>
    <w:rsid w:val="5994097D"/>
    <w:rsid w:val="599D080E"/>
    <w:rsid w:val="59B276B5"/>
    <w:rsid w:val="59DE3395"/>
    <w:rsid w:val="59E273E2"/>
    <w:rsid w:val="5A0679CE"/>
    <w:rsid w:val="5A0C6448"/>
    <w:rsid w:val="5A18235C"/>
    <w:rsid w:val="5A1C6AF8"/>
    <w:rsid w:val="5A203BE9"/>
    <w:rsid w:val="5A271CEE"/>
    <w:rsid w:val="5A4844C1"/>
    <w:rsid w:val="5A4F6188"/>
    <w:rsid w:val="5A5678FE"/>
    <w:rsid w:val="5A57088B"/>
    <w:rsid w:val="5A5B4C6D"/>
    <w:rsid w:val="5A610783"/>
    <w:rsid w:val="5A917629"/>
    <w:rsid w:val="5ABE5677"/>
    <w:rsid w:val="5ADE29CB"/>
    <w:rsid w:val="5AE86CD7"/>
    <w:rsid w:val="5AED151A"/>
    <w:rsid w:val="5B124C9D"/>
    <w:rsid w:val="5B24136D"/>
    <w:rsid w:val="5B3331BA"/>
    <w:rsid w:val="5BB17696"/>
    <w:rsid w:val="5BC61451"/>
    <w:rsid w:val="5BD13307"/>
    <w:rsid w:val="5BD255D8"/>
    <w:rsid w:val="5BD30CB0"/>
    <w:rsid w:val="5BE12D2E"/>
    <w:rsid w:val="5BEB7DF2"/>
    <w:rsid w:val="5BF52042"/>
    <w:rsid w:val="5C01759D"/>
    <w:rsid w:val="5C104B9D"/>
    <w:rsid w:val="5C112160"/>
    <w:rsid w:val="5C2231A4"/>
    <w:rsid w:val="5C673B19"/>
    <w:rsid w:val="5C6A3B9C"/>
    <w:rsid w:val="5C843313"/>
    <w:rsid w:val="5C8B0E73"/>
    <w:rsid w:val="5C930667"/>
    <w:rsid w:val="5C9508AD"/>
    <w:rsid w:val="5CAD4D96"/>
    <w:rsid w:val="5CCC79C2"/>
    <w:rsid w:val="5CDD5E81"/>
    <w:rsid w:val="5CFC242F"/>
    <w:rsid w:val="5D0D5C77"/>
    <w:rsid w:val="5D126DAB"/>
    <w:rsid w:val="5D263107"/>
    <w:rsid w:val="5D266F6A"/>
    <w:rsid w:val="5D2712FE"/>
    <w:rsid w:val="5D6A756D"/>
    <w:rsid w:val="5D6C20EA"/>
    <w:rsid w:val="5D7827F6"/>
    <w:rsid w:val="5D847166"/>
    <w:rsid w:val="5D8A5E78"/>
    <w:rsid w:val="5D9012A0"/>
    <w:rsid w:val="5DA41F66"/>
    <w:rsid w:val="5DCB1EFB"/>
    <w:rsid w:val="5DEF2493"/>
    <w:rsid w:val="5DF10EAD"/>
    <w:rsid w:val="5E0252D6"/>
    <w:rsid w:val="5E212A67"/>
    <w:rsid w:val="5E464E16"/>
    <w:rsid w:val="5E4B309D"/>
    <w:rsid w:val="5E6A7C00"/>
    <w:rsid w:val="5E6C6D68"/>
    <w:rsid w:val="5E8C74BA"/>
    <w:rsid w:val="5EA1742C"/>
    <w:rsid w:val="5EA365EC"/>
    <w:rsid w:val="5EBF3F26"/>
    <w:rsid w:val="5ECE6B3E"/>
    <w:rsid w:val="5EE23D2B"/>
    <w:rsid w:val="5EF9222C"/>
    <w:rsid w:val="5F0911A3"/>
    <w:rsid w:val="5F1B36F9"/>
    <w:rsid w:val="5F1B68AC"/>
    <w:rsid w:val="5F1D269E"/>
    <w:rsid w:val="5F216A45"/>
    <w:rsid w:val="5F254935"/>
    <w:rsid w:val="5F2662F2"/>
    <w:rsid w:val="5F2949E4"/>
    <w:rsid w:val="5F2A754F"/>
    <w:rsid w:val="5F2E64D0"/>
    <w:rsid w:val="5F4518F2"/>
    <w:rsid w:val="5F544891"/>
    <w:rsid w:val="5F63056F"/>
    <w:rsid w:val="5F684A84"/>
    <w:rsid w:val="5FD27CA4"/>
    <w:rsid w:val="60072995"/>
    <w:rsid w:val="60223EF9"/>
    <w:rsid w:val="60312457"/>
    <w:rsid w:val="6034336E"/>
    <w:rsid w:val="603B209A"/>
    <w:rsid w:val="60407C69"/>
    <w:rsid w:val="60536CA0"/>
    <w:rsid w:val="608360F2"/>
    <w:rsid w:val="60892789"/>
    <w:rsid w:val="60922832"/>
    <w:rsid w:val="609E1334"/>
    <w:rsid w:val="60C52F28"/>
    <w:rsid w:val="60E72999"/>
    <w:rsid w:val="60EB0202"/>
    <w:rsid w:val="60F84F4E"/>
    <w:rsid w:val="61076A17"/>
    <w:rsid w:val="610F1EBC"/>
    <w:rsid w:val="6128759E"/>
    <w:rsid w:val="61287753"/>
    <w:rsid w:val="613549B3"/>
    <w:rsid w:val="614A79DA"/>
    <w:rsid w:val="61551D71"/>
    <w:rsid w:val="615C1644"/>
    <w:rsid w:val="616D17FD"/>
    <w:rsid w:val="61761A39"/>
    <w:rsid w:val="61A101EE"/>
    <w:rsid w:val="61B91608"/>
    <w:rsid w:val="61B96784"/>
    <w:rsid w:val="61BC16A1"/>
    <w:rsid w:val="61C36ECE"/>
    <w:rsid w:val="61E63B4B"/>
    <w:rsid w:val="62097A80"/>
    <w:rsid w:val="62317A2C"/>
    <w:rsid w:val="6236439F"/>
    <w:rsid w:val="624132A2"/>
    <w:rsid w:val="6265498F"/>
    <w:rsid w:val="626628F2"/>
    <w:rsid w:val="627D25B4"/>
    <w:rsid w:val="62901ACA"/>
    <w:rsid w:val="62A83F11"/>
    <w:rsid w:val="62F55179"/>
    <w:rsid w:val="630039FD"/>
    <w:rsid w:val="63280DC0"/>
    <w:rsid w:val="63381B60"/>
    <w:rsid w:val="633867B9"/>
    <w:rsid w:val="634A7F00"/>
    <w:rsid w:val="636A0813"/>
    <w:rsid w:val="637668FD"/>
    <w:rsid w:val="638D160E"/>
    <w:rsid w:val="63974E79"/>
    <w:rsid w:val="63B12FC0"/>
    <w:rsid w:val="63B56398"/>
    <w:rsid w:val="63BB1F03"/>
    <w:rsid w:val="63CC5831"/>
    <w:rsid w:val="63D858B9"/>
    <w:rsid w:val="63F40973"/>
    <w:rsid w:val="640B27B0"/>
    <w:rsid w:val="640D0383"/>
    <w:rsid w:val="640F2195"/>
    <w:rsid w:val="642D7495"/>
    <w:rsid w:val="64412AC6"/>
    <w:rsid w:val="645748CC"/>
    <w:rsid w:val="648867FA"/>
    <w:rsid w:val="64AC10B2"/>
    <w:rsid w:val="64C15A10"/>
    <w:rsid w:val="64C237ED"/>
    <w:rsid w:val="64E76AF5"/>
    <w:rsid w:val="650A71D8"/>
    <w:rsid w:val="65342543"/>
    <w:rsid w:val="657D14E3"/>
    <w:rsid w:val="658B0677"/>
    <w:rsid w:val="65C0774D"/>
    <w:rsid w:val="65C20539"/>
    <w:rsid w:val="65C74A7B"/>
    <w:rsid w:val="65E45345"/>
    <w:rsid w:val="65E74F31"/>
    <w:rsid w:val="65F97EE5"/>
    <w:rsid w:val="661E52F1"/>
    <w:rsid w:val="66275121"/>
    <w:rsid w:val="66325834"/>
    <w:rsid w:val="666C450A"/>
    <w:rsid w:val="668F6C77"/>
    <w:rsid w:val="66BA74E6"/>
    <w:rsid w:val="66C071F1"/>
    <w:rsid w:val="66D06F35"/>
    <w:rsid w:val="671A42FD"/>
    <w:rsid w:val="67246E31"/>
    <w:rsid w:val="672E6EEE"/>
    <w:rsid w:val="67351CC3"/>
    <w:rsid w:val="673D690D"/>
    <w:rsid w:val="67440BE0"/>
    <w:rsid w:val="67662EFD"/>
    <w:rsid w:val="677D1378"/>
    <w:rsid w:val="67875077"/>
    <w:rsid w:val="678C7C09"/>
    <w:rsid w:val="679060E7"/>
    <w:rsid w:val="6794398D"/>
    <w:rsid w:val="67985F4C"/>
    <w:rsid w:val="67B54159"/>
    <w:rsid w:val="67C12694"/>
    <w:rsid w:val="67D81E39"/>
    <w:rsid w:val="67F415E9"/>
    <w:rsid w:val="680C44FB"/>
    <w:rsid w:val="681E2931"/>
    <w:rsid w:val="683F0453"/>
    <w:rsid w:val="6850003B"/>
    <w:rsid w:val="68525515"/>
    <w:rsid w:val="68543E40"/>
    <w:rsid w:val="68721312"/>
    <w:rsid w:val="68730ACA"/>
    <w:rsid w:val="68887A5C"/>
    <w:rsid w:val="688A4736"/>
    <w:rsid w:val="688F7BF9"/>
    <w:rsid w:val="68931C20"/>
    <w:rsid w:val="68AA5161"/>
    <w:rsid w:val="68AB2FAF"/>
    <w:rsid w:val="68BA06AB"/>
    <w:rsid w:val="68C16C93"/>
    <w:rsid w:val="68CC3F1B"/>
    <w:rsid w:val="68CD71DD"/>
    <w:rsid w:val="68FC41FE"/>
    <w:rsid w:val="69171709"/>
    <w:rsid w:val="692E0BAE"/>
    <w:rsid w:val="692E4144"/>
    <w:rsid w:val="69426D62"/>
    <w:rsid w:val="69465054"/>
    <w:rsid w:val="694C5B42"/>
    <w:rsid w:val="69622BFF"/>
    <w:rsid w:val="699C7B24"/>
    <w:rsid w:val="69A64A40"/>
    <w:rsid w:val="69D35AFC"/>
    <w:rsid w:val="69D520DE"/>
    <w:rsid w:val="69EF2612"/>
    <w:rsid w:val="6A032D4C"/>
    <w:rsid w:val="6A067C2F"/>
    <w:rsid w:val="6A112B12"/>
    <w:rsid w:val="6A235F6C"/>
    <w:rsid w:val="6A345243"/>
    <w:rsid w:val="6A443C00"/>
    <w:rsid w:val="6A4E3026"/>
    <w:rsid w:val="6A4E3DB0"/>
    <w:rsid w:val="6A61660A"/>
    <w:rsid w:val="6A6F5F56"/>
    <w:rsid w:val="6A806DEA"/>
    <w:rsid w:val="6AC925F2"/>
    <w:rsid w:val="6AD1045C"/>
    <w:rsid w:val="6AFE3FF4"/>
    <w:rsid w:val="6B05635E"/>
    <w:rsid w:val="6B18388B"/>
    <w:rsid w:val="6B290CF2"/>
    <w:rsid w:val="6B3E03FD"/>
    <w:rsid w:val="6B3E21CD"/>
    <w:rsid w:val="6B6D381E"/>
    <w:rsid w:val="6B713FE6"/>
    <w:rsid w:val="6B912516"/>
    <w:rsid w:val="6BB959A4"/>
    <w:rsid w:val="6BBC3B6D"/>
    <w:rsid w:val="6BC42E16"/>
    <w:rsid w:val="6BC9713C"/>
    <w:rsid w:val="6BD04C5D"/>
    <w:rsid w:val="6BDC34C9"/>
    <w:rsid w:val="6BED7A30"/>
    <w:rsid w:val="6C0B698D"/>
    <w:rsid w:val="6C2A0EC4"/>
    <w:rsid w:val="6C2B57D0"/>
    <w:rsid w:val="6C351278"/>
    <w:rsid w:val="6C383C09"/>
    <w:rsid w:val="6C3F57B6"/>
    <w:rsid w:val="6C493B9F"/>
    <w:rsid w:val="6C7B680A"/>
    <w:rsid w:val="6C8C5741"/>
    <w:rsid w:val="6C964B29"/>
    <w:rsid w:val="6C9D6F12"/>
    <w:rsid w:val="6CA518AE"/>
    <w:rsid w:val="6CC37D7E"/>
    <w:rsid w:val="6CE47B9F"/>
    <w:rsid w:val="6CF050B9"/>
    <w:rsid w:val="6D0C4AB7"/>
    <w:rsid w:val="6D431E29"/>
    <w:rsid w:val="6D585A94"/>
    <w:rsid w:val="6D5966A9"/>
    <w:rsid w:val="6D5A5441"/>
    <w:rsid w:val="6D6676DB"/>
    <w:rsid w:val="6D8D67BE"/>
    <w:rsid w:val="6D9117AA"/>
    <w:rsid w:val="6DB95578"/>
    <w:rsid w:val="6DDA1456"/>
    <w:rsid w:val="6DDE7729"/>
    <w:rsid w:val="6E2E086A"/>
    <w:rsid w:val="6E332A8A"/>
    <w:rsid w:val="6E372047"/>
    <w:rsid w:val="6E552CE9"/>
    <w:rsid w:val="6E5A7FC1"/>
    <w:rsid w:val="6E6F4131"/>
    <w:rsid w:val="6E7128FC"/>
    <w:rsid w:val="6E7D1CB3"/>
    <w:rsid w:val="6E7F209F"/>
    <w:rsid w:val="6E857166"/>
    <w:rsid w:val="6E8954CB"/>
    <w:rsid w:val="6E8A7AA7"/>
    <w:rsid w:val="6EA33E64"/>
    <w:rsid w:val="6EBE760D"/>
    <w:rsid w:val="6EC06248"/>
    <w:rsid w:val="6EC32E0A"/>
    <w:rsid w:val="6EC64D13"/>
    <w:rsid w:val="6EE1749C"/>
    <w:rsid w:val="6EE76A72"/>
    <w:rsid w:val="6F032396"/>
    <w:rsid w:val="6F091119"/>
    <w:rsid w:val="6F0E7F14"/>
    <w:rsid w:val="6F1003C2"/>
    <w:rsid w:val="6F3B7C48"/>
    <w:rsid w:val="6F3C6748"/>
    <w:rsid w:val="6F620133"/>
    <w:rsid w:val="6F7D22A2"/>
    <w:rsid w:val="6F8C009D"/>
    <w:rsid w:val="6FAB13E3"/>
    <w:rsid w:val="6FDF3995"/>
    <w:rsid w:val="6FF95798"/>
    <w:rsid w:val="70084B62"/>
    <w:rsid w:val="70164AAC"/>
    <w:rsid w:val="702D2763"/>
    <w:rsid w:val="703A1DEB"/>
    <w:rsid w:val="704D3DA2"/>
    <w:rsid w:val="70770017"/>
    <w:rsid w:val="70864533"/>
    <w:rsid w:val="70A11E74"/>
    <w:rsid w:val="70C16ECB"/>
    <w:rsid w:val="70C62FEB"/>
    <w:rsid w:val="70CD01BF"/>
    <w:rsid w:val="70D850FA"/>
    <w:rsid w:val="70DF0A42"/>
    <w:rsid w:val="70FA6C2A"/>
    <w:rsid w:val="71001AB5"/>
    <w:rsid w:val="71235557"/>
    <w:rsid w:val="712A0F64"/>
    <w:rsid w:val="712C01B2"/>
    <w:rsid w:val="713F7296"/>
    <w:rsid w:val="717C3375"/>
    <w:rsid w:val="718A1D24"/>
    <w:rsid w:val="718B41F3"/>
    <w:rsid w:val="71956116"/>
    <w:rsid w:val="71BD0333"/>
    <w:rsid w:val="71CB20B3"/>
    <w:rsid w:val="71D852DD"/>
    <w:rsid w:val="720D5468"/>
    <w:rsid w:val="721F087F"/>
    <w:rsid w:val="7228139C"/>
    <w:rsid w:val="7239373D"/>
    <w:rsid w:val="72580A86"/>
    <w:rsid w:val="7267310C"/>
    <w:rsid w:val="72721BBC"/>
    <w:rsid w:val="727F6379"/>
    <w:rsid w:val="72884C21"/>
    <w:rsid w:val="72981B36"/>
    <w:rsid w:val="729951E9"/>
    <w:rsid w:val="72A02BC7"/>
    <w:rsid w:val="72AD6ACC"/>
    <w:rsid w:val="72B73060"/>
    <w:rsid w:val="72D75B8D"/>
    <w:rsid w:val="72D82AF9"/>
    <w:rsid w:val="72D93E3F"/>
    <w:rsid w:val="72DA03A3"/>
    <w:rsid w:val="732029BE"/>
    <w:rsid w:val="7320432E"/>
    <w:rsid w:val="73353E1E"/>
    <w:rsid w:val="73644D1D"/>
    <w:rsid w:val="738851D3"/>
    <w:rsid w:val="738D4E93"/>
    <w:rsid w:val="738E2328"/>
    <w:rsid w:val="73AB4777"/>
    <w:rsid w:val="73D053E2"/>
    <w:rsid w:val="73D420CA"/>
    <w:rsid w:val="73D73BFC"/>
    <w:rsid w:val="73DE1001"/>
    <w:rsid w:val="740B42D8"/>
    <w:rsid w:val="740F2A32"/>
    <w:rsid w:val="742152EE"/>
    <w:rsid w:val="74223322"/>
    <w:rsid w:val="7423459F"/>
    <w:rsid w:val="74452636"/>
    <w:rsid w:val="746E23DF"/>
    <w:rsid w:val="74853B31"/>
    <w:rsid w:val="749C789C"/>
    <w:rsid w:val="74AF05EC"/>
    <w:rsid w:val="74BF2EF3"/>
    <w:rsid w:val="74C047D0"/>
    <w:rsid w:val="74D10FAF"/>
    <w:rsid w:val="74DE5A0A"/>
    <w:rsid w:val="74EB010F"/>
    <w:rsid w:val="75073900"/>
    <w:rsid w:val="752008A2"/>
    <w:rsid w:val="75302EB6"/>
    <w:rsid w:val="75613A24"/>
    <w:rsid w:val="75717306"/>
    <w:rsid w:val="759B67B5"/>
    <w:rsid w:val="75DC2F16"/>
    <w:rsid w:val="75DD0822"/>
    <w:rsid w:val="75E2572D"/>
    <w:rsid w:val="75EF3175"/>
    <w:rsid w:val="75F07A8A"/>
    <w:rsid w:val="75F25951"/>
    <w:rsid w:val="75F5752F"/>
    <w:rsid w:val="75F81F2E"/>
    <w:rsid w:val="76003AD1"/>
    <w:rsid w:val="760D5C2B"/>
    <w:rsid w:val="761A5B16"/>
    <w:rsid w:val="7620667C"/>
    <w:rsid w:val="7647146C"/>
    <w:rsid w:val="76471A82"/>
    <w:rsid w:val="764A5B4E"/>
    <w:rsid w:val="76737012"/>
    <w:rsid w:val="76CB7210"/>
    <w:rsid w:val="77011CE7"/>
    <w:rsid w:val="77030BE5"/>
    <w:rsid w:val="77547128"/>
    <w:rsid w:val="777136DE"/>
    <w:rsid w:val="77836EFA"/>
    <w:rsid w:val="77882CC8"/>
    <w:rsid w:val="7793574C"/>
    <w:rsid w:val="77BC4207"/>
    <w:rsid w:val="77C31A70"/>
    <w:rsid w:val="7809097F"/>
    <w:rsid w:val="78366D27"/>
    <w:rsid w:val="784B2F89"/>
    <w:rsid w:val="787060B4"/>
    <w:rsid w:val="7886059B"/>
    <w:rsid w:val="78944E3C"/>
    <w:rsid w:val="78A06A8E"/>
    <w:rsid w:val="78B30074"/>
    <w:rsid w:val="78CC7501"/>
    <w:rsid w:val="78D10E6F"/>
    <w:rsid w:val="7900322F"/>
    <w:rsid w:val="79065FB7"/>
    <w:rsid w:val="79245398"/>
    <w:rsid w:val="79351673"/>
    <w:rsid w:val="79531DF7"/>
    <w:rsid w:val="795D588E"/>
    <w:rsid w:val="79876B33"/>
    <w:rsid w:val="79C90F6B"/>
    <w:rsid w:val="79CE0959"/>
    <w:rsid w:val="79E36E9E"/>
    <w:rsid w:val="7A0A5292"/>
    <w:rsid w:val="7A294B6D"/>
    <w:rsid w:val="7A2D6F89"/>
    <w:rsid w:val="7A362910"/>
    <w:rsid w:val="7A397128"/>
    <w:rsid w:val="7A505423"/>
    <w:rsid w:val="7A5646F8"/>
    <w:rsid w:val="7A6800E1"/>
    <w:rsid w:val="7A6F46B1"/>
    <w:rsid w:val="7A814DA3"/>
    <w:rsid w:val="7A993AAD"/>
    <w:rsid w:val="7AA25F56"/>
    <w:rsid w:val="7AB629F5"/>
    <w:rsid w:val="7AB92CBB"/>
    <w:rsid w:val="7AC862BE"/>
    <w:rsid w:val="7ADE3982"/>
    <w:rsid w:val="7AE069D0"/>
    <w:rsid w:val="7AF05454"/>
    <w:rsid w:val="7AF82986"/>
    <w:rsid w:val="7B110836"/>
    <w:rsid w:val="7B1F21BF"/>
    <w:rsid w:val="7B483868"/>
    <w:rsid w:val="7B4F7000"/>
    <w:rsid w:val="7B5A6466"/>
    <w:rsid w:val="7B7B610F"/>
    <w:rsid w:val="7B800A1A"/>
    <w:rsid w:val="7B9B61B7"/>
    <w:rsid w:val="7BD71090"/>
    <w:rsid w:val="7BE8762A"/>
    <w:rsid w:val="7C0533F8"/>
    <w:rsid w:val="7C161A92"/>
    <w:rsid w:val="7C1D4424"/>
    <w:rsid w:val="7C2D74FA"/>
    <w:rsid w:val="7C38463A"/>
    <w:rsid w:val="7C426029"/>
    <w:rsid w:val="7C456234"/>
    <w:rsid w:val="7C474A7D"/>
    <w:rsid w:val="7C554F9C"/>
    <w:rsid w:val="7C595320"/>
    <w:rsid w:val="7CA92CBB"/>
    <w:rsid w:val="7CBB6337"/>
    <w:rsid w:val="7CBF7B1A"/>
    <w:rsid w:val="7CC04C9E"/>
    <w:rsid w:val="7CD378BB"/>
    <w:rsid w:val="7CFE7298"/>
    <w:rsid w:val="7D15165D"/>
    <w:rsid w:val="7D210212"/>
    <w:rsid w:val="7D3D3FA2"/>
    <w:rsid w:val="7D4108A9"/>
    <w:rsid w:val="7D41531B"/>
    <w:rsid w:val="7D831D1E"/>
    <w:rsid w:val="7D902D1E"/>
    <w:rsid w:val="7DA10D96"/>
    <w:rsid w:val="7DA236A4"/>
    <w:rsid w:val="7DAA13C2"/>
    <w:rsid w:val="7DC2161D"/>
    <w:rsid w:val="7DE863E8"/>
    <w:rsid w:val="7E471035"/>
    <w:rsid w:val="7E515337"/>
    <w:rsid w:val="7E532204"/>
    <w:rsid w:val="7E5C67A4"/>
    <w:rsid w:val="7EA94177"/>
    <w:rsid w:val="7EC36548"/>
    <w:rsid w:val="7ED42DC9"/>
    <w:rsid w:val="7EDB06FA"/>
    <w:rsid w:val="7F0F5F3F"/>
    <w:rsid w:val="7F2F4518"/>
    <w:rsid w:val="7F321C2E"/>
    <w:rsid w:val="7F660485"/>
    <w:rsid w:val="7F665B95"/>
    <w:rsid w:val="7F934BA9"/>
    <w:rsid w:val="7F951470"/>
    <w:rsid w:val="7F9E345E"/>
    <w:rsid w:val="7FAF642E"/>
    <w:rsid w:val="7FF16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leftChars="0" w:firstLine="8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sz w:val="24"/>
      <w:szCs w:val="24"/>
    </w:rPr>
  </w:style>
  <w:style w:type="paragraph" w:styleId="11">
    <w:name w:val="annotation subject"/>
    <w:basedOn w:val="4"/>
    <w:next w:val="4"/>
    <w:link w:val="17"/>
    <w:qFormat/>
    <w:uiPriority w:val="0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Char"/>
    <w:link w:val="8"/>
    <w:qFormat/>
    <w:uiPriority w:val="0"/>
    <w:rPr>
      <w:sz w:val="18"/>
      <w:szCs w:val="18"/>
    </w:rPr>
  </w:style>
  <w:style w:type="character" w:customStyle="1" w:styleId="17">
    <w:name w:val="批注主题 Char"/>
    <w:link w:val="11"/>
    <w:qFormat/>
    <w:uiPriority w:val="0"/>
    <w:rPr>
      <w:b/>
      <w:bCs/>
    </w:rPr>
  </w:style>
  <w:style w:type="character" w:customStyle="1" w:styleId="18">
    <w:name w:val="批注文字 Char"/>
    <w:basedOn w:val="13"/>
    <w:link w:val="4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line="240" w:lineRule="auto"/>
      <w:ind w:left="0" w:firstLine="420"/>
      <w:jc w:val="left"/>
    </w:pPr>
  </w:style>
  <w:style w:type="paragraph" w:customStyle="1" w:styleId="20">
    <w:name w:val="Char"/>
    <w:basedOn w:val="1"/>
    <w:qFormat/>
    <w:uiPriority w:val="0"/>
    <w:pPr>
      <w:spacing w:line="240" w:lineRule="auto"/>
      <w:ind w:left="0"/>
    </w:pPr>
    <w:rPr>
      <w:kern w:val="2"/>
      <w:sz w:val="21"/>
    </w:rPr>
  </w:style>
  <w:style w:type="paragraph" w:customStyle="1" w:styleId="21">
    <w:name w:val="Char Char Char Char Char Char Char Char Char"/>
    <w:basedOn w:val="1"/>
    <w:qFormat/>
    <w:uiPriority w:val="0"/>
    <w:pPr>
      <w:widowControl/>
      <w:spacing w:after="160" w:line="240" w:lineRule="exact"/>
      <w:ind w:left="0"/>
      <w:jc w:val="left"/>
    </w:pPr>
    <w:rPr>
      <w:kern w:val="2"/>
      <w:sz w:val="21"/>
    </w:rPr>
  </w:style>
  <w:style w:type="paragraph" w:customStyle="1" w:styleId="22">
    <w:name w:val="Char1 Char Char Char"/>
    <w:basedOn w:val="1"/>
    <w:qFormat/>
    <w:uiPriority w:val="0"/>
    <w:pPr>
      <w:spacing w:line="240" w:lineRule="auto"/>
      <w:ind w:left="0"/>
    </w:pPr>
    <w:rPr>
      <w:kern w:val="2"/>
      <w:sz w:val="21"/>
    </w:rPr>
  </w:style>
  <w:style w:type="paragraph" w:customStyle="1" w:styleId="23">
    <w:name w:val="Char Char Char Char Char Char1 Char"/>
    <w:basedOn w:val="1"/>
    <w:qFormat/>
    <w:uiPriority w:val="0"/>
    <w:pPr>
      <w:spacing w:line="360" w:lineRule="auto"/>
      <w:ind w:left="0" w:firstLine="200" w:firstLineChars="200"/>
    </w:pPr>
    <w:rPr>
      <w:kern w:val="2"/>
      <w:sz w:val="21"/>
      <w:szCs w:val="24"/>
    </w:r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20&#24180;&#24037;&#20316;\2019&#20844;&#25253;\&#20844;&#25253;&#22270;&#3492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100" b="1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altLang="zh-CN" sz="1100" b="1">
                <a:latin typeface="宋体" panose="02010600030101010101" charset="-122"/>
                <a:ea typeface="宋体" panose="02010600030101010101" charset="-122"/>
              </a:rPr>
              <a:t>1</a:t>
            </a:r>
            <a:r>
              <a:rPr lang="zh-CN" altLang="en-US" sz="1100" b="1">
                <a:latin typeface="宋体" panose="02010600030101010101" charset="-122"/>
                <a:ea typeface="宋体" panose="02010600030101010101" charset="-122"/>
              </a:rPr>
              <a:t>、</a:t>
            </a:r>
            <a:r>
              <a:rPr lang="en-US" altLang="zh-CN" sz="1100" b="1">
                <a:latin typeface="宋体" panose="02010600030101010101" charset="-122"/>
                <a:ea typeface="宋体" panose="02010600030101010101" charset="-122"/>
              </a:rPr>
              <a:t>2014</a:t>
            </a:r>
            <a:r>
              <a:rPr lang="zh-CN" altLang="en-US" sz="1100" b="1">
                <a:latin typeface="宋体" panose="02010600030101010101" charset="-122"/>
                <a:ea typeface="宋体" panose="02010600030101010101" charset="-122"/>
              </a:rPr>
              <a:t>年</a:t>
            </a:r>
            <a:r>
              <a:rPr lang="en-US" altLang="zh-CN" sz="1100" b="1">
                <a:latin typeface="宋体" panose="02010600030101010101" charset="-122"/>
                <a:ea typeface="宋体" panose="02010600030101010101" charset="-122"/>
              </a:rPr>
              <a:t>-2019</a:t>
            </a:r>
            <a:r>
              <a:rPr lang="zh-CN" altLang="en-US" sz="1100" b="1">
                <a:latin typeface="宋体" panose="02010600030101010101" charset="-122"/>
                <a:ea typeface="宋体" panose="02010600030101010101" charset="-122"/>
              </a:rPr>
              <a:t>年生产总值及其增长速度（亿元、</a:t>
            </a:r>
            <a:r>
              <a:rPr lang="en-US" altLang="zh-CN" sz="1100" b="1">
                <a:latin typeface="宋体" panose="02010600030101010101" charset="-122"/>
                <a:ea typeface="宋体" panose="02010600030101010101" charset="-122"/>
              </a:rPr>
              <a:t>%</a:t>
            </a:r>
            <a:r>
              <a:rPr lang="zh-CN" altLang="en-US" sz="1100" b="1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sz="1100" b="1"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124860801781737"/>
          <c:y val="0.0163517441860465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[公报图表1.xlsx]Sheet1!$B$2</c:f>
              <c:strCache>
                <c:ptCount val="1"/>
                <c:pt idx="0">
                  <c:v>生产总值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[公报图表1.xlsx]Sheet1!$A$3:$A$8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[公报图表1.xlsx]Sheet1!$B$3:$B$8</c:f>
              <c:numCache>
                <c:formatCode>General</c:formatCode>
                <c:ptCount val="6"/>
                <c:pt idx="0">
                  <c:v>179.57</c:v>
                </c:pt>
                <c:pt idx="1">
                  <c:v>210.21</c:v>
                </c:pt>
                <c:pt idx="2">
                  <c:v>243.39</c:v>
                </c:pt>
                <c:pt idx="3">
                  <c:v>231.04</c:v>
                </c:pt>
                <c:pt idx="4">
                  <c:v>237.6</c:v>
                </c:pt>
                <c:pt idx="5">
                  <c:v>271.92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9"/>
        <c:overlap val="20"/>
        <c:axId val="1108289776"/>
        <c:axId val="1108290336"/>
      </c:barChart>
      <c:lineChart>
        <c:grouping val="standard"/>
        <c:varyColors val="0"/>
        <c:ser>
          <c:idx val="1"/>
          <c:order val="1"/>
          <c:tx>
            <c:strRef>
              <c:f>[公报图表1.xlsx]Sheet1!$C$2</c:f>
              <c:strCache>
                <c:ptCount val="1"/>
                <c:pt idx="0">
                  <c:v>增长速度</c:v>
                </c:pt>
              </c:strCache>
            </c:strRef>
          </c:tx>
          <c:dLbls>
            <c:dLbl>
              <c:idx val="5"/>
              <c:layout>
                <c:manualLayout>
                  <c:x val="0.0019962736225712"/>
                  <c:y val="0.016362635447690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[公报图表1.xlsx]Sheet1!$A$3:$A$8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[公报图表1.xlsx]Sheet1!$C$3:$C$8</c:f>
              <c:numCache>
                <c:formatCode>General</c:formatCode>
                <c:ptCount val="6"/>
                <c:pt idx="0">
                  <c:v>17.4</c:v>
                </c:pt>
                <c:pt idx="1">
                  <c:v>16.5</c:v>
                </c:pt>
                <c:pt idx="2">
                  <c:v>14.9</c:v>
                </c:pt>
                <c:pt idx="3">
                  <c:v>0.5</c:v>
                </c:pt>
                <c:pt idx="4">
                  <c:v>6.1</c:v>
                </c:pt>
                <c:pt idx="5" c:formatCode="0.0_ ">
                  <c:v>11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8290896"/>
        <c:axId val="1108291456"/>
      </c:lineChart>
      <c:catAx>
        <c:axId val="110828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1108290336"/>
        <c:crosses val="autoZero"/>
        <c:auto val="1"/>
        <c:lblAlgn val="ctr"/>
        <c:lblOffset val="100"/>
        <c:noMultiLvlLbl val="0"/>
      </c:catAx>
      <c:valAx>
        <c:axId val="1108290336"/>
        <c:scaling>
          <c:orientation val="minMax"/>
        </c:scaling>
        <c:delete val="0"/>
        <c:axPos val="l"/>
        <c:majorGridlines>
          <c:spPr>
            <a:ln w="6350" cap="rnd" cmpd="sng" algn="ctr">
              <a:noFill/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one"/>
        <c:spPr>
          <a:noFill/>
          <a:ln w="6350" cap="rnd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89776"/>
        <c:crosses val="autoZero"/>
        <c:crossBetween val="between"/>
      </c:valAx>
      <c:catAx>
        <c:axId val="1108290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91456"/>
        <c:crosses val="autoZero"/>
        <c:auto val="1"/>
        <c:lblAlgn val="ctr"/>
        <c:lblOffset val="100"/>
        <c:noMultiLvlLbl val="0"/>
      </c:catAx>
      <c:valAx>
        <c:axId val="1108291456"/>
        <c:scaling>
          <c:orientation val="minMax"/>
        </c:scaling>
        <c:delete val="1"/>
        <c:axPos val="r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90896"/>
        <c:crosses val="max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sz="1200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sz="1200">
                <a:latin typeface="宋体" panose="02010600030101010101" charset="-122"/>
                <a:ea typeface="宋体" panose="02010600030101010101" charset="-122"/>
              </a:rPr>
              <a:t>2</a:t>
            </a:r>
            <a:r>
              <a:rPr lang="zh-CN" sz="1200">
                <a:latin typeface="宋体" panose="02010600030101010101" charset="-122"/>
                <a:ea typeface="宋体" panose="02010600030101010101" charset="-122"/>
              </a:rPr>
              <a:t>、居民消费价格变化趋势图（上年同期</a:t>
            </a:r>
            <a:r>
              <a:rPr lang="en-US" sz="1200">
                <a:latin typeface="宋体" panose="02010600030101010101" charset="-122"/>
                <a:ea typeface="宋体" panose="02010600030101010101" charset="-122"/>
              </a:rPr>
              <a:t>=100</a:t>
            </a:r>
            <a:r>
              <a:rPr lang="zh-CN" sz="1200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sz="1200">
              <a:latin typeface="宋体" panose="02010600030101010101" charset="-122"/>
              <a:ea typeface="宋体" panose="02010600030101010101" charset="-122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3584229390681"/>
          <c:y val="0.255726796972597"/>
          <c:w val="0.866188769414576"/>
          <c:h val="0.563356679862531"/>
        </c:manualLayout>
      </c:layout>
      <c:lineChart>
        <c:grouping val="standard"/>
        <c:varyColors val="0"/>
        <c:ser>
          <c:idx val="0"/>
          <c:order val="0"/>
          <c:tx>
            <c:strRef>
              <c:f>[公报图表1.xlsx]Sheet1!$B$27</c:f>
              <c:strCache>
                <c:ptCount val="1"/>
                <c:pt idx="0">
                  <c:v>居民消费价格总指数</c:v>
                </c:pt>
              </c:strCache>
            </c:strRef>
          </c:tx>
          <c:spPr>
            <a:ln w="38100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[公报图表1.xlsx]Sheet1!$A$28:$A$39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[公报图表1.xlsx]Sheet1!$B$28:$B$39</c:f>
              <c:numCache>
                <c:formatCode>General</c:formatCode>
                <c:ptCount val="12"/>
                <c:pt idx="0">
                  <c:v>101.2</c:v>
                </c:pt>
                <c:pt idx="1">
                  <c:v>101</c:v>
                </c:pt>
                <c:pt idx="2">
                  <c:v>101.1</c:v>
                </c:pt>
                <c:pt idx="3">
                  <c:v>101.3</c:v>
                </c:pt>
                <c:pt idx="4">
                  <c:v>101.3</c:v>
                </c:pt>
                <c:pt idx="5">
                  <c:v>101.2</c:v>
                </c:pt>
                <c:pt idx="6">
                  <c:v>101.2</c:v>
                </c:pt>
                <c:pt idx="7">
                  <c:v>101.2</c:v>
                </c:pt>
                <c:pt idx="8">
                  <c:v>101.3</c:v>
                </c:pt>
                <c:pt idx="9">
                  <c:v>101.5</c:v>
                </c:pt>
                <c:pt idx="10">
                  <c:v>101.7</c:v>
                </c:pt>
                <c:pt idx="11">
                  <c:v>102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8293696"/>
        <c:axId val="1108294256"/>
      </c:lineChart>
      <c:catAx>
        <c:axId val="1108293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94256"/>
        <c:crosses val="autoZero"/>
        <c:auto val="1"/>
        <c:lblAlgn val="ctr"/>
        <c:lblOffset val="100"/>
        <c:noMultiLvlLbl val="0"/>
      </c:catAx>
      <c:valAx>
        <c:axId val="1108294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93696"/>
        <c:crosses val="autoZero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100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altLang="zh-CN" sz="1100">
                <a:latin typeface="宋体" panose="02010600030101010101" charset="-122"/>
                <a:ea typeface="宋体" panose="02010600030101010101" charset="-122"/>
              </a:rPr>
              <a:t>4</a:t>
            </a:r>
            <a:r>
              <a:rPr lang="zh-CN" altLang="en-US" sz="1100">
                <a:latin typeface="宋体" panose="02010600030101010101" charset="-122"/>
                <a:ea typeface="宋体" panose="02010600030101010101" charset="-122"/>
              </a:rPr>
              <a:t>、</a:t>
            </a:r>
            <a:r>
              <a:rPr lang="en-US" altLang="zh-CN" sz="1100">
                <a:latin typeface="宋体" panose="02010600030101010101" charset="-122"/>
                <a:ea typeface="宋体" panose="02010600030101010101" charset="-122"/>
              </a:rPr>
              <a:t>2014-2019</a:t>
            </a:r>
            <a:r>
              <a:rPr lang="zh-CN" altLang="en-US" sz="1100">
                <a:latin typeface="宋体" panose="02010600030101010101" charset="-122"/>
                <a:ea typeface="宋体" panose="02010600030101010101" charset="-122"/>
              </a:rPr>
              <a:t>社会消费品零售总额及其增长速度（亿元、</a:t>
            </a:r>
            <a:r>
              <a:rPr lang="en-US" altLang="zh-CN" sz="1100">
                <a:latin typeface="宋体" panose="02010600030101010101" charset="-122"/>
                <a:ea typeface="宋体" panose="02010600030101010101" charset="-122"/>
              </a:rPr>
              <a:t>%</a:t>
            </a:r>
            <a:r>
              <a:rPr lang="zh-CN" altLang="en-US" sz="1100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altLang="en-US" sz="1100">
              <a:latin typeface="宋体" panose="02010600030101010101" charset="-122"/>
              <a:ea typeface="宋体" panose="02010600030101010101" charset="-122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[公报图表1.xlsx]Sheet1!$B$89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[公报图表1.xlsx]Sheet1!$A$90:$A$95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[公报图表1.xlsx]Sheet1!$B$90:$B$95</c:f>
              <c:numCache>
                <c:formatCode>General</c:formatCode>
                <c:ptCount val="6"/>
                <c:pt idx="0">
                  <c:v>87.41</c:v>
                </c:pt>
                <c:pt idx="1">
                  <c:v>100.14</c:v>
                </c:pt>
                <c:pt idx="2">
                  <c:v>113.7</c:v>
                </c:pt>
                <c:pt idx="3">
                  <c:v>126.3</c:v>
                </c:pt>
                <c:pt idx="4">
                  <c:v>126.74</c:v>
                </c:pt>
                <c:pt idx="5">
                  <c:v>130.71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08297056"/>
        <c:axId val="936317024"/>
      </c:barChart>
      <c:lineChart>
        <c:grouping val="standard"/>
        <c:varyColors val="0"/>
        <c:ser>
          <c:idx val="1"/>
          <c:order val="1"/>
          <c:tx>
            <c:strRef>
              <c:f>[公报图表1.xlsx]Sheet1!$C$89</c:f>
              <c:strCache>
                <c:ptCount val="1"/>
                <c:pt idx="0">
                  <c:v>增长速度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[公报图表1.xlsx]Sheet1!$A$90:$A$95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[公报图表1.xlsx]Sheet1!$C$90:$C$95</c:f>
              <c:numCache>
                <c:formatCode>General</c:formatCode>
                <c:ptCount val="6"/>
                <c:pt idx="0">
                  <c:v>12.7</c:v>
                </c:pt>
                <c:pt idx="1">
                  <c:v>11.6</c:v>
                </c:pt>
                <c:pt idx="2">
                  <c:v>13.5</c:v>
                </c:pt>
                <c:pt idx="3">
                  <c:v>11.1</c:v>
                </c:pt>
                <c:pt idx="4">
                  <c:v>8.5</c:v>
                </c:pt>
                <c:pt idx="5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297056"/>
        <c:axId val="936317024"/>
      </c:lineChart>
      <c:catAx>
        <c:axId val="1108297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936317024"/>
        <c:crosses val="autoZero"/>
        <c:auto val="1"/>
        <c:lblAlgn val="ctr"/>
        <c:lblOffset val="100"/>
        <c:noMultiLvlLbl val="0"/>
      </c:catAx>
      <c:valAx>
        <c:axId val="936317024"/>
        <c:scaling>
          <c:orientation val="minMax"/>
        </c:scaling>
        <c:delete val="1"/>
        <c:axPos val="l"/>
        <c:majorGridlines>
          <c:spPr>
            <a:ln w="6350" cap="rnd" cmpd="sng" algn="ctr">
              <a:noFill/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08297056"/>
        <c:crosses val="autoZero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200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altLang="zh-CN" sz="1200">
                <a:latin typeface="宋体" panose="02010600030101010101" charset="-122"/>
                <a:ea typeface="宋体" panose="02010600030101010101" charset="-122"/>
              </a:rPr>
              <a:t>5</a:t>
            </a:r>
            <a:r>
              <a:rPr lang="zh-CN" altLang="en-US" sz="1200">
                <a:latin typeface="宋体" panose="02010600030101010101" charset="-122"/>
                <a:ea typeface="宋体" panose="02010600030101010101" charset="-122"/>
              </a:rPr>
              <a:t>、</a:t>
            </a:r>
            <a:r>
              <a:rPr lang="en-US" altLang="zh-CN" sz="1200">
                <a:latin typeface="宋体" panose="02010600030101010101" charset="-122"/>
                <a:ea typeface="宋体" panose="02010600030101010101" charset="-122"/>
              </a:rPr>
              <a:t>2014-2019</a:t>
            </a:r>
            <a:r>
              <a:rPr lang="zh-CN" altLang="en-US" sz="1200">
                <a:latin typeface="宋体" panose="02010600030101010101" charset="-122"/>
                <a:ea typeface="宋体" panose="02010600030101010101" charset="-122"/>
              </a:rPr>
              <a:t>财政总收入及其增长速度（亿元、</a:t>
            </a:r>
            <a:r>
              <a:rPr lang="en-US" altLang="zh-CN" sz="1200">
                <a:latin typeface="宋体" panose="02010600030101010101" charset="-122"/>
                <a:ea typeface="宋体" panose="02010600030101010101" charset="-122"/>
              </a:rPr>
              <a:t>%</a:t>
            </a:r>
            <a:r>
              <a:rPr lang="zh-CN" altLang="en-US" sz="1200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altLang="en-US" sz="1200">
              <a:latin typeface="宋体" panose="02010600030101010101" charset="-122"/>
              <a:ea typeface="宋体" panose="02010600030101010101" charset="-122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[公报图表1.xlsx]Sheet1!$B$115</c:f>
              <c:strCache>
                <c:ptCount val="1"/>
                <c:pt idx="0">
                  <c:v>财政收入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0.000396825396825404"/>
                  <c:y val="-0.170295870023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2204893850294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674603174603175"/>
                  <c:y val="-0.233189346629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2577426540483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96825396825397"/>
                  <c:y val="-0.25735599376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17460317460317"/>
                  <c:y val="-0.2250336314404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[公报图表1.xlsx]Sheet1!$A$116:$A$121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[公报图表1.xlsx]Sheet1!$B$116:$B$121</c:f>
              <c:numCache>
                <c:formatCode>General</c:formatCode>
                <c:ptCount val="6"/>
                <c:pt idx="0">
                  <c:v>51.42</c:v>
                </c:pt>
                <c:pt idx="1">
                  <c:v>58.44</c:v>
                </c:pt>
                <c:pt idx="2">
                  <c:v>59.6</c:v>
                </c:pt>
                <c:pt idx="3">
                  <c:v>48.82</c:v>
                </c:pt>
                <c:pt idx="4">
                  <c:v>42.78</c:v>
                </c:pt>
                <c:pt idx="5">
                  <c:v>37.47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936319824"/>
        <c:axId val="936320384"/>
      </c:barChart>
      <c:lineChart>
        <c:grouping val="stacked"/>
        <c:varyColors val="0"/>
        <c:ser>
          <c:idx val="1"/>
          <c:order val="1"/>
          <c:tx>
            <c:strRef>
              <c:f>[公报图表1.xlsx]Sheet1!$C$115</c:f>
              <c:strCache>
                <c:ptCount val="1"/>
                <c:pt idx="0">
                  <c:v>增长速度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</c:spPr>
          <c:dLbls>
            <c:dLbl>
              <c:idx val="0"/>
              <c:layout>
                <c:manualLayout>
                  <c:x val="-0.00198413250742536"/>
                  <c:y val="0.0076853069066640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96825396825397"/>
                  <c:y val="0.03295212250436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46031746031746"/>
                  <c:y val="0.04458228338825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96825396825397"/>
                  <c:y val="0.087774294670846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[公报图表1.xlsx]Sheet1!$A$116:$A$121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[公报图表1.xlsx]Sheet1!$C$116:$C$121</c:f>
              <c:numCache>
                <c:formatCode>General</c:formatCode>
                <c:ptCount val="6"/>
                <c:pt idx="0">
                  <c:v>7.4</c:v>
                </c:pt>
                <c:pt idx="1">
                  <c:v>13.6</c:v>
                </c:pt>
                <c:pt idx="2">
                  <c:v>0.58</c:v>
                </c:pt>
                <c:pt idx="3">
                  <c:v>-18.21</c:v>
                </c:pt>
                <c:pt idx="4">
                  <c:v>-12.31</c:v>
                </c:pt>
                <c:pt idx="5">
                  <c:v>-12.4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6319824"/>
        <c:axId val="936320384"/>
      </c:lineChart>
      <c:catAx>
        <c:axId val="936319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936320384"/>
        <c:crosses val="autoZero"/>
        <c:auto val="1"/>
        <c:lblAlgn val="ctr"/>
        <c:lblOffset val="100"/>
        <c:noMultiLvlLbl val="0"/>
      </c:catAx>
      <c:valAx>
        <c:axId val="936320384"/>
        <c:scaling>
          <c:orientation val="minMax"/>
        </c:scaling>
        <c:delete val="1"/>
        <c:axPos val="l"/>
        <c:majorGridlines>
          <c:spPr>
            <a:ln w="6350" cap="rnd" cmpd="sng" algn="ctr">
              <a:noFill/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36319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4259259259259"/>
          <c:y val="0.844096133751306"/>
        </c:manualLayout>
      </c:layout>
      <c:overlay val="0"/>
      <c:spPr>
        <a:noFill/>
        <a:ln w="6350">
          <a:noFill/>
          <a:prstDash val="dash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zero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7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、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2014-2019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城镇居民人均可支配收入及其增长速度（元、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%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sz="1050">
              <a:latin typeface="宋体" panose="02010600030101010101" charset="-122"/>
              <a:ea typeface="宋体" panose="02010600030101010101" charset="-122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[公报图表1.xlsx]Sheet1!$B$159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-1.22204516381474e-17"/>
                  <c:y val="0.2608513991833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277778155211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8818065525898e-17"/>
                  <c:y val="0.2846915274503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2951088027283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6663111585121"/>
                  <c:y val="0.3062669420420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77636131051795e-17"/>
                  <c:y val="0.335777516593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[公报图表1.xlsx]Sheet1!$A$160:$A$165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[公报图表1.xlsx]Sheet1!$B$160:$B$165</c:f>
              <c:numCache>
                <c:formatCode>0_ </c:formatCode>
                <c:ptCount val="6"/>
                <c:pt idx="0">
                  <c:v>22401</c:v>
                </c:pt>
                <c:pt idx="1">
                  <c:v>24686</c:v>
                </c:pt>
                <c:pt idx="2">
                  <c:v>26784</c:v>
                </c:pt>
                <c:pt idx="3">
                  <c:v>29355</c:v>
                </c:pt>
                <c:pt idx="4">
                  <c:v>32026</c:v>
                </c:pt>
                <c:pt idx="5">
                  <c:v>34845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323184"/>
        <c:axId val="936323744"/>
      </c:barChart>
      <c:lineChart>
        <c:grouping val="standard"/>
        <c:varyColors val="0"/>
        <c:ser>
          <c:idx val="1"/>
          <c:order val="1"/>
          <c:tx>
            <c:strRef>
              <c:f>[公报图表1.xlsx]Sheet1!$C$159</c:f>
              <c:strCache>
                <c:ptCount val="1"/>
                <c:pt idx="0">
                  <c:v>增长速度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[公报图表1.xlsx]Sheet1!$A$160:$A$165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[公报图表1.xlsx]Sheet1!$C$160:$C$165</c:f>
              <c:numCache>
                <c:formatCode>General</c:formatCode>
                <c:ptCount val="6"/>
                <c:pt idx="0">
                  <c:v>8.98</c:v>
                </c:pt>
                <c:pt idx="1">
                  <c:v>10.2</c:v>
                </c:pt>
                <c:pt idx="2">
                  <c:v>8.5</c:v>
                </c:pt>
                <c:pt idx="3">
                  <c:v>9.6</c:v>
                </c:pt>
                <c:pt idx="4">
                  <c:v>9.1</c:v>
                </c:pt>
                <c:pt idx="5">
                  <c:v>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6324304"/>
        <c:axId val="1112807840"/>
      </c:lineChart>
      <c:catAx>
        <c:axId val="936323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936323744"/>
        <c:crosses val="autoZero"/>
        <c:auto val="1"/>
        <c:lblAlgn val="ctr"/>
        <c:lblOffset val="100"/>
        <c:noMultiLvlLbl val="0"/>
      </c:catAx>
      <c:valAx>
        <c:axId val="936323744"/>
        <c:scaling>
          <c:orientation val="minMax"/>
        </c:scaling>
        <c:delete val="0"/>
        <c:axPos val="l"/>
        <c:majorGridlines>
          <c:spPr>
            <a:ln w="6350" cap="rnd" cmpd="sng" algn="ctr">
              <a:noFill/>
              <a:prstDash val="solid"/>
              <a:round/>
            </a:ln>
          </c:spPr>
        </c:majorGridlines>
        <c:numFmt formatCode="0_ " sourceLinked="1"/>
        <c:majorTickMark val="none"/>
        <c:minorTickMark val="none"/>
        <c:tickLblPos val="none"/>
        <c:spPr>
          <a:noFill/>
          <a:ln w="6350" cap="rnd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36323184"/>
        <c:crosses val="autoZero"/>
        <c:crossBetween val="between"/>
      </c:valAx>
      <c:catAx>
        <c:axId val="936324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12807840"/>
        <c:crosses val="autoZero"/>
        <c:auto val="1"/>
        <c:lblAlgn val="ctr"/>
        <c:lblOffset val="100"/>
        <c:noMultiLvlLbl val="0"/>
      </c:catAx>
      <c:valAx>
        <c:axId val="1112807840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one"/>
        <c:spPr>
          <a:noFill/>
          <a:ln w="6350" cap="rnd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36324304"/>
        <c:crosses val="max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图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8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、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2014-2019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农村居民人均可支配收入及其增长速度（元、</a:t>
            </a:r>
            <a:r>
              <a:rPr lang="en-US" altLang="zh-CN" sz="1050">
                <a:latin typeface="宋体" panose="02010600030101010101" charset="-122"/>
                <a:ea typeface="宋体" panose="02010600030101010101" charset="-122"/>
              </a:rPr>
              <a:t>%</a:t>
            </a:r>
            <a:r>
              <a:rPr lang="zh-CN" altLang="en-US" sz="1050">
                <a:latin typeface="宋体" panose="02010600030101010101" charset="-122"/>
                <a:ea typeface="宋体" panose="02010600030101010101" charset="-122"/>
              </a:rPr>
              <a:t>）</a:t>
            </a:r>
            <a:endParaRPr lang="zh-CN" sz="1050">
              <a:latin typeface="宋体" panose="02010600030101010101" charset="-122"/>
              <a:ea typeface="宋体" panose="02010600030101010101" charset="-122"/>
            </a:endParaRPr>
          </a:p>
        </c:rich>
      </c:tx>
      <c:layout>
        <c:manualLayout>
          <c:xMode val="edge"/>
          <c:yMode val="edge"/>
          <c:x val="0.0988823142669297"/>
          <c:y val="0.022735884804850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0920447074293228"/>
          <c:y val="0.152933628288091"/>
          <c:w val="0.942143326758711"/>
          <c:h val="0.675169082125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[公报图表1.xlsx]Sheet1!$B$185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[公报图表1.xlsx]Sheet1!$A$160:$A$165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[公报图表1.xlsx]Sheet1!$B$186:$B$191</c:f>
              <c:numCache>
                <c:formatCode>0_ </c:formatCode>
                <c:ptCount val="6"/>
                <c:pt idx="0">
                  <c:v>7879</c:v>
                </c:pt>
                <c:pt idx="1">
                  <c:v>8817</c:v>
                </c:pt>
                <c:pt idx="2">
                  <c:v>9752</c:v>
                </c:pt>
                <c:pt idx="3">
                  <c:v>10786</c:v>
                </c:pt>
                <c:pt idx="4">
                  <c:v>11865</c:v>
                </c:pt>
                <c:pt idx="5">
                  <c:v>13158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2810640"/>
        <c:axId val="1112811200"/>
      </c:barChart>
      <c:lineChart>
        <c:grouping val="standard"/>
        <c:varyColors val="0"/>
        <c:ser>
          <c:idx val="1"/>
          <c:order val="1"/>
          <c:tx>
            <c:strRef>
              <c:f>[公报图表1.xlsx]Sheet1!$C$185</c:f>
              <c:strCache>
                <c:ptCount val="1"/>
                <c:pt idx="0">
                  <c:v>增长速度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[公报图表1.xlsx]Sheet1!$A$160:$A$164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[公报图表1.xlsx]Sheet1!$C$186:$C$191</c:f>
              <c:numCache>
                <c:formatCode>General</c:formatCode>
                <c:ptCount val="6"/>
                <c:pt idx="0">
                  <c:v>12.83</c:v>
                </c:pt>
                <c:pt idx="1">
                  <c:v>11.9</c:v>
                </c:pt>
                <c:pt idx="2">
                  <c:v>10.6</c:v>
                </c:pt>
                <c:pt idx="3">
                  <c:v>10.6</c:v>
                </c:pt>
                <c:pt idx="4">
                  <c:v>10</c:v>
                </c:pt>
                <c:pt idx="5">
                  <c:v>10.9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2811760"/>
        <c:axId val="1112812320"/>
      </c:lineChart>
      <c:catAx>
        <c:axId val="1112810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+mn-cs"/>
              </a:defRPr>
            </a:pPr>
          </a:p>
        </c:txPr>
        <c:crossAx val="1112811200"/>
        <c:crosses val="autoZero"/>
        <c:auto val="1"/>
        <c:lblAlgn val="ctr"/>
        <c:lblOffset val="100"/>
        <c:noMultiLvlLbl val="0"/>
      </c:catAx>
      <c:valAx>
        <c:axId val="1112811200"/>
        <c:scaling>
          <c:orientation val="minMax"/>
        </c:scaling>
        <c:delete val="0"/>
        <c:axPos val="l"/>
        <c:majorGridlines>
          <c:spPr>
            <a:ln w="6350" cap="rnd" cmpd="sng" algn="ctr">
              <a:noFill/>
              <a:prstDash val="solid"/>
              <a:round/>
            </a:ln>
          </c:spPr>
        </c:majorGridlines>
        <c:numFmt formatCode="0_ " sourceLinked="1"/>
        <c:majorTickMark val="none"/>
        <c:minorTickMark val="none"/>
        <c:tickLblPos val="none"/>
        <c:spPr>
          <a:noFill/>
          <a:ln w="6350" cap="rnd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12810640"/>
        <c:crosses val="autoZero"/>
        <c:crossBetween val="between"/>
      </c:valAx>
      <c:catAx>
        <c:axId val="1112811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12812320"/>
        <c:crosses val="autoZero"/>
        <c:auto val="1"/>
        <c:lblAlgn val="ctr"/>
        <c:lblOffset val="100"/>
        <c:noMultiLvlLbl val="0"/>
      </c:catAx>
      <c:valAx>
        <c:axId val="1112812320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one"/>
        <c:spPr>
          <a:noFill/>
          <a:ln w="6350" cap="rnd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12811760"/>
        <c:crosses val="max"/>
        <c:crossBetween val="between"/>
      </c:valAx>
      <c:spPr>
        <a:noFill/>
        <a:ln>
          <a:noFill/>
        </a:ln>
      </c:spPr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+mn-cs"/>
            </a:defRPr>
          </a:pPr>
        </a:p>
      </c:txPr>
    </c:legend>
    <c:plotVisOnly val="1"/>
    <c:dispBlanksAs val="gap"/>
    <c:showDLblsOverMax val="0"/>
  </c:chart>
  <c:spPr>
    <a:ln w="6350" cap="rnd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8C302-ECD4-40BA-AE16-B1DD463D1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18</Pages>
  <Words>1505</Words>
  <Characters>8580</Characters>
  <Lines>71</Lines>
  <Paragraphs>20</Paragraphs>
  <TotalTime>194</TotalTime>
  <ScaleCrop>false</ScaleCrop>
  <LinksUpToDate>false</LinksUpToDate>
  <CharactersWithSpaces>10065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2020-04-17T01:31:00Z</dcterms:created>
  <dc:creator>Lenovo User</dc:creator>
  <cp:lastModifiedBy>Administrator</cp:lastModifiedBy>
  <cp:lastPrinted>2020-04-09T01:46:00Z</cp:lastPrinted>
  <dcterms:modified xsi:type="dcterms:W3CDTF">2020-05-28T03:58:16Z</dcterms:modified>
  <dc:title>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