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6"/>
          <w:sz w:val="42"/>
          <w:szCs w:val="4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  <w:lang w:val="en-US" w:eastAsia="zh-CN"/>
        </w:rPr>
        <w:t>19年度政府信息公开情况统计表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1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28"/>
          <w:szCs w:val="28"/>
          <w:lang w:val="en-US" w:eastAsia="zh-CN"/>
        </w:rPr>
        <w:t>填报单位（盖章）：凯里市民族宗教事务局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信息发布</w:t>
            </w:r>
            <w:r>
              <w:rPr>
                <w:rFonts w:ascii="黑体" w:hAnsi="黑体" w:eastAsia="黑体"/>
                <w:color w:val="000000"/>
                <w:sz w:val="24"/>
              </w:rPr>
              <w:t>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.政务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客户端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.其他方式公开政府信息数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（四）政府信息动态管理情况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2.解密公开信息数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（五）重大决策预公开情况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3.征集到意见数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4.不予采纳意见数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.政策解读稿件发布数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.微博微信回应事件数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.其他方式回应事件数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（三）会议开放情况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三</w:t>
            </w:r>
            <w:r>
              <w:rPr>
                <w:rFonts w:ascii="黑体" w:hAnsi="黑体" w:eastAsia="黑体"/>
                <w:color w:val="000000"/>
                <w:sz w:val="24"/>
              </w:rPr>
              <w:t>、举报投诉数量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四</w:t>
            </w:r>
            <w:r>
              <w:rPr>
                <w:rFonts w:ascii="黑体" w:hAnsi="黑体" w:eastAsia="黑体"/>
                <w:color w:val="000000"/>
                <w:sz w:val="24"/>
              </w:rPr>
              <w:t>、机构建设和保障经费情况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政务公开监督员情况（各市州、贵安新区填报）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3.提出意见数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4.采纳意见数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）政府信息公开专项经费（不包括用于政府公报编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五</w:t>
            </w:r>
            <w:r>
              <w:rPr>
                <w:rFonts w:ascii="黑体" w:hAnsi="黑体" w:eastAsia="黑体"/>
                <w:color w:val="000000"/>
                <w:sz w:val="24"/>
              </w:rPr>
              <w:t>、政府信息公开会议和培训情况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23668"/>
    <w:rsid w:val="06123668"/>
    <w:rsid w:val="184B356E"/>
    <w:rsid w:val="35A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2020-01-21T07:53:00Z</dcterms:created>
  <dc:creator>Administrator</dc:creator>
  <cp:lastModifiedBy>Administrator</cp:lastModifiedBy>
  <dcterms:modified xsi:type="dcterms:W3CDTF">2020-01-21T08:03:03Z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